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7E" w:rsidRPr="00136772" w:rsidRDefault="00C6602C">
      <w:pPr>
        <w:pStyle w:val="BodyText"/>
        <w:ind w:firstLineChars="0" w:firstLine="0"/>
        <w:rPr>
          <w:rFonts w:ascii="方正小标宋简体" w:eastAsia="方正小标宋简体" w:hAnsi="方正小标宋简体"/>
          <w:kern w:val="0"/>
          <w:szCs w:val="28"/>
          <w:lang w:bidi="zh-CN"/>
        </w:rPr>
      </w:pPr>
      <w:r w:rsidRPr="00136772">
        <w:rPr>
          <w:rFonts w:ascii="方正小标宋简体" w:eastAsia="方正小标宋简体" w:hAnsi="方正小标宋简体" w:hint="eastAsia"/>
          <w:kern w:val="0"/>
          <w:szCs w:val="28"/>
          <w:lang w:bidi="zh-CN"/>
        </w:rPr>
        <w:t>附件</w:t>
      </w:r>
    </w:p>
    <w:p w:rsidR="009F037E" w:rsidRDefault="009F037E">
      <w:pPr>
        <w:pStyle w:val="BodyText"/>
        <w:ind w:firstLineChars="0" w:firstLine="0"/>
        <w:rPr>
          <w:rFonts w:ascii="黑体" w:eastAsia="黑体" w:hAnsi="黑体"/>
          <w:kern w:val="0"/>
          <w:szCs w:val="28"/>
          <w:lang w:bidi="zh-CN"/>
        </w:rPr>
      </w:pPr>
    </w:p>
    <w:p w:rsidR="009F037E" w:rsidRDefault="00C6602C">
      <w:pPr>
        <w:pStyle w:val="Title"/>
        <w:ind w:firstLineChars="0" w:firstLine="0"/>
        <w:rPr>
          <w:rFonts w:ascii="方正小标宋简体" w:hAnsi="楷体" w:cs="仿宋"/>
          <w:b w:val="0"/>
          <w:bCs w:val="0"/>
          <w:kern w:val="0"/>
          <w:sz w:val="36"/>
          <w:szCs w:val="28"/>
          <w:lang w:bidi="zh-CN"/>
        </w:rPr>
      </w:pPr>
      <w:bookmarkStart w:id="0" w:name="_Hlk175909224"/>
      <w:r>
        <w:rPr>
          <w:rFonts w:ascii="方正小标宋简体" w:hAnsi="楷体" w:cs="仿宋" w:hint="eastAsia"/>
          <w:b w:val="0"/>
          <w:bCs w:val="0"/>
          <w:kern w:val="0"/>
          <w:sz w:val="36"/>
          <w:szCs w:val="28"/>
          <w:lang w:bidi="zh-CN"/>
        </w:rPr>
        <w:t>人工智能未来设计大赛</w:t>
      </w:r>
      <w:proofErr w:type="gramStart"/>
      <w:r>
        <w:rPr>
          <w:rFonts w:ascii="方正小标宋简体" w:eastAsia="宋体" w:hAnsi="宋体" w:cs="宋体" w:hint="eastAsia"/>
          <w:sz w:val="36"/>
        </w:rPr>
        <w:t>•</w:t>
      </w:r>
      <w:r w:rsidR="00136772">
        <w:rPr>
          <w:rFonts w:ascii="方正小标宋简体" w:hAnsi="楷体" w:cs="仿宋" w:hint="eastAsia"/>
          <w:b w:val="0"/>
          <w:bCs w:val="0"/>
          <w:kern w:val="0"/>
          <w:sz w:val="36"/>
          <w:szCs w:val="28"/>
          <w:lang w:bidi="zh-CN"/>
        </w:rPr>
        <w:t>文旅应用</w:t>
      </w:r>
      <w:proofErr w:type="gramEnd"/>
      <w:r w:rsidR="00136772">
        <w:rPr>
          <w:rFonts w:ascii="方正小标宋简体" w:hAnsi="楷体" w:cs="仿宋" w:hint="eastAsia"/>
          <w:b w:val="0"/>
          <w:bCs w:val="0"/>
          <w:kern w:val="0"/>
          <w:sz w:val="36"/>
          <w:szCs w:val="28"/>
          <w:lang w:bidi="zh-CN"/>
        </w:rPr>
        <w:t>赛须知</w:t>
      </w:r>
    </w:p>
    <w:bookmarkEnd w:id="0"/>
    <w:p w:rsidR="009F037E" w:rsidRDefault="009F037E">
      <w:pPr>
        <w:pStyle w:val="BodyText2"/>
        <w:ind w:firstLine="720"/>
        <w:rPr>
          <w:rFonts w:ascii="方正小标宋简体" w:eastAsia="方正小标宋简体" w:hAnsi="楷体"/>
          <w:kern w:val="0"/>
          <w:sz w:val="36"/>
          <w:szCs w:val="28"/>
          <w:lang w:bidi="zh-CN"/>
        </w:rPr>
      </w:pPr>
    </w:p>
    <w:p w:rsidR="009F037E" w:rsidRDefault="00C6602C">
      <w:pPr>
        <w:ind w:firstLine="643"/>
        <w:rPr>
          <w:b/>
          <w:bCs/>
        </w:rPr>
      </w:pPr>
      <w:r>
        <w:rPr>
          <w:rFonts w:hint="eastAsia"/>
          <w:b/>
          <w:bCs/>
        </w:rPr>
        <w:t>第一条  竞赛名称</w:t>
      </w:r>
    </w:p>
    <w:p w:rsidR="009F037E" w:rsidRDefault="00C6602C">
      <w:r>
        <w:rPr>
          <w:rFonts w:hint="eastAsia"/>
        </w:rPr>
        <w:t>人工智能未来设计大赛·</w:t>
      </w:r>
      <w:proofErr w:type="gramStart"/>
      <w:r>
        <w:rPr>
          <w:rFonts w:hint="eastAsia"/>
        </w:rPr>
        <w:t>文旅应用</w:t>
      </w:r>
      <w:proofErr w:type="gramEnd"/>
      <w:r>
        <w:rPr>
          <w:rFonts w:hint="eastAsia"/>
        </w:rPr>
        <w:t>赛</w:t>
      </w:r>
    </w:p>
    <w:p w:rsidR="009F037E" w:rsidRDefault="00C6602C">
      <w:pPr>
        <w:ind w:firstLine="643"/>
        <w:rPr>
          <w:b/>
          <w:bCs/>
        </w:rPr>
      </w:pPr>
      <w:r>
        <w:rPr>
          <w:rFonts w:hint="eastAsia"/>
          <w:b/>
          <w:bCs/>
        </w:rPr>
        <w:t>第二条  竞赛目的</w:t>
      </w:r>
    </w:p>
    <w:p w:rsidR="009F037E" w:rsidRDefault="00C6602C">
      <w:pPr>
        <w:rPr>
          <w:kern w:val="0"/>
          <w:lang w:bidi="zh-CN"/>
        </w:rPr>
      </w:pPr>
      <w:r>
        <w:rPr>
          <w:rFonts w:hint="eastAsia"/>
          <w:kern w:val="0"/>
          <w:lang w:bidi="zh-CN"/>
        </w:rPr>
        <w:t>为加快推动人工智能技术在各行各业的应用落地，促进人工智能前沿技术、应用技术与</w:t>
      </w:r>
      <w:proofErr w:type="gramStart"/>
      <w:r>
        <w:rPr>
          <w:rFonts w:hint="eastAsia"/>
          <w:kern w:val="0"/>
          <w:lang w:bidi="zh-CN"/>
        </w:rPr>
        <w:t>文旅产业</w:t>
      </w:r>
      <w:proofErr w:type="gramEnd"/>
      <w:r>
        <w:rPr>
          <w:rFonts w:hint="eastAsia"/>
          <w:kern w:val="0"/>
          <w:lang w:bidi="zh-CN"/>
        </w:rPr>
        <w:t>的融合，工业和信息化</w:t>
      </w:r>
      <w:proofErr w:type="gramStart"/>
      <w:r>
        <w:rPr>
          <w:rFonts w:hint="eastAsia"/>
          <w:kern w:val="0"/>
          <w:lang w:bidi="zh-CN"/>
        </w:rPr>
        <w:t>部工业</w:t>
      </w:r>
      <w:proofErr w:type="gramEnd"/>
      <w:r>
        <w:rPr>
          <w:rFonts w:hint="eastAsia"/>
          <w:kern w:val="0"/>
          <w:lang w:bidi="zh-CN"/>
        </w:rPr>
        <w:t>文化发展中心决定开展“人工智能未来设计大赛•文旅应用赛”。</w:t>
      </w:r>
    </w:p>
    <w:p w:rsidR="009F037E" w:rsidRDefault="00C6602C">
      <w:pPr>
        <w:ind w:firstLine="643"/>
        <w:rPr>
          <w:b/>
          <w:bCs/>
        </w:rPr>
      </w:pPr>
      <w:r>
        <w:rPr>
          <w:rFonts w:hint="eastAsia"/>
          <w:b/>
          <w:bCs/>
        </w:rPr>
        <w:t>第三条 竞赛赛项</w:t>
      </w:r>
    </w:p>
    <w:p w:rsidR="009F037E" w:rsidRDefault="00C6602C">
      <w:pPr>
        <w:rPr>
          <w:kern w:val="0"/>
          <w:lang w:bidi="zh-CN"/>
        </w:rPr>
      </w:pPr>
      <w:r>
        <w:rPr>
          <w:rFonts w:hint="eastAsia"/>
          <w:kern w:val="0"/>
          <w:lang w:bidi="zh-CN"/>
        </w:rPr>
        <w:t>竞赛参赛对象主要</w:t>
      </w:r>
      <w:proofErr w:type="gramStart"/>
      <w:r>
        <w:rPr>
          <w:rFonts w:hint="eastAsia"/>
          <w:kern w:val="0"/>
          <w:lang w:bidi="zh-CN"/>
        </w:rPr>
        <w:t>面向文旅企业</w:t>
      </w:r>
      <w:proofErr w:type="gramEnd"/>
      <w:r>
        <w:rPr>
          <w:rFonts w:hint="eastAsia"/>
          <w:kern w:val="0"/>
          <w:lang w:bidi="zh-CN"/>
        </w:rPr>
        <w:t>、科技创新创业企业、高校及青少年。竞赛包含三个部分，面向人工智能在文旅大行业的应用、面向创新创业企业在</w:t>
      </w:r>
      <w:proofErr w:type="gramStart"/>
      <w:r>
        <w:rPr>
          <w:rFonts w:hint="eastAsia"/>
          <w:kern w:val="0"/>
          <w:lang w:bidi="zh-CN"/>
        </w:rPr>
        <w:t>文旅领域</w:t>
      </w:r>
      <w:proofErr w:type="gramEnd"/>
      <w:r>
        <w:rPr>
          <w:rFonts w:hint="eastAsia"/>
          <w:kern w:val="0"/>
          <w:lang w:bidi="zh-CN"/>
        </w:rPr>
        <w:t>的新技术、面向学生在人工智能+</w:t>
      </w:r>
      <w:proofErr w:type="gramStart"/>
      <w:r>
        <w:rPr>
          <w:rFonts w:hint="eastAsia"/>
          <w:kern w:val="0"/>
          <w:lang w:bidi="zh-CN"/>
        </w:rPr>
        <w:t>文旅领域</w:t>
      </w:r>
      <w:proofErr w:type="gramEnd"/>
      <w:r>
        <w:rPr>
          <w:rFonts w:hint="eastAsia"/>
          <w:kern w:val="0"/>
          <w:lang w:bidi="zh-CN"/>
        </w:rPr>
        <w:t>的技能应用。</w:t>
      </w:r>
    </w:p>
    <w:p w:rsidR="009F037E" w:rsidRDefault="00C6602C">
      <w:pPr>
        <w:pStyle w:val="BodyText"/>
      </w:pPr>
      <w:r>
        <w:rPr>
          <w:rFonts w:hint="eastAsia"/>
        </w:rPr>
        <w:t>竞赛官网：</w:t>
      </w:r>
    </w:p>
    <w:p w:rsidR="009F037E" w:rsidRDefault="00F16547">
      <w:pPr>
        <w:pStyle w:val="BodyText"/>
      </w:pPr>
      <w:hyperlink r:id="rId9" w:history="1">
        <w:r w:rsidR="00C6602C">
          <w:rPr>
            <w:rStyle w:val="Hyperlink"/>
            <w:rFonts w:hint="eastAsia"/>
          </w:rPr>
          <w:t>http://aigc.ccmapp.cn/</w:t>
        </w:r>
      </w:hyperlink>
    </w:p>
    <w:p w:rsidR="009F037E" w:rsidRDefault="00C6602C">
      <w:pPr>
        <w:ind w:firstLine="643"/>
        <w:rPr>
          <w:b/>
          <w:bCs/>
        </w:rPr>
      </w:pPr>
      <w:r>
        <w:rPr>
          <w:rFonts w:hint="eastAsia"/>
          <w:b/>
          <w:bCs/>
        </w:rPr>
        <w:t>第四条 组织机构</w:t>
      </w:r>
    </w:p>
    <w:p w:rsidR="009F037E" w:rsidRDefault="00C6602C">
      <w:pPr>
        <w:pStyle w:val="BodyText"/>
        <w:rPr>
          <w:b/>
          <w:bCs/>
        </w:rPr>
      </w:pPr>
      <w:r>
        <w:rPr>
          <w:rFonts w:hint="eastAsia"/>
        </w:rPr>
        <w:t>人工智能未来设计大赛</w:t>
      </w:r>
    </w:p>
    <w:p w:rsidR="009F037E" w:rsidRDefault="00C6602C">
      <w:pPr>
        <w:pStyle w:val="BodyText"/>
        <w:rPr>
          <w:b/>
          <w:bCs/>
        </w:rPr>
      </w:pPr>
      <w:r>
        <w:rPr>
          <w:rFonts w:hint="eastAsia"/>
        </w:rPr>
        <w:t>主办单位：工业和信息化</w:t>
      </w:r>
      <w:proofErr w:type="gramStart"/>
      <w:r>
        <w:rPr>
          <w:rFonts w:hint="eastAsia"/>
        </w:rPr>
        <w:t>部工业</w:t>
      </w:r>
      <w:proofErr w:type="gramEnd"/>
      <w:r>
        <w:rPr>
          <w:rFonts w:hint="eastAsia"/>
        </w:rPr>
        <w:t>文化发展中心</w:t>
      </w:r>
    </w:p>
    <w:p w:rsidR="009F037E" w:rsidRDefault="00C6602C">
      <w:pPr>
        <w:rPr>
          <w:kern w:val="0"/>
          <w:lang w:bidi="zh-CN"/>
        </w:rPr>
      </w:pPr>
      <w:r>
        <w:rPr>
          <w:rFonts w:hint="eastAsia"/>
          <w:kern w:val="0"/>
          <w:lang w:bidi="zh-CN"/>
        </w:rPr>
        <w:t>人工智能未来设计大赛·</w:t>
      </w:r>
      <w:proofErr w:type="gramStart"/>
      <w:r>
        <w:rPr>
          <w:rFonts w:hint="eastAsia"/>
          <w:kern w:val="0"/>
          <w:lang w:bidi="zh-CN"/>
        </w:rPr>
        <w:t>文旅应用</w:t>
      </w:r>
      <w:proofErr w:type="gramEnd"/>
      <w:r>
        <w:rPr>
          <w:rFonts w:hint="eastAsia"/>
          <w:kern w:val="0"/>
          <w:lang w:bidi="zh-CN"/>
        </w:rPr>
        <w:t>赛</w:t>
      </w:r>
    </w:p>
    <w:p w:rsidR="009F037E" w:rsidRDefault="00C6602C">
      <w:pPr>
        <w:rPr>
          <w:kern w:val="0"/>
          <w:lang w:bidi="zh-CN"/>
        </w:rPr>
      </w:pPr>
      <w:r>
        <w:rPr>
          <w:rFonts w:hint="eastAsia"/>
          <w:kern w:val="0"/>
          <w:lang w:bidi="zh-CN"/>
        </w:rPr>
        <w:t>联合主办单位：AIGC数字文化产业育成中心</w:t>
      </w:r>
    </w:p>
    <w:p w:rsidR="009F037E" w:rsidRDefault="00C6602C">
      <w:pPr>
        <w:pStyle w:val="BodyText"/>
        <w:rPr>
          <w:kern w:val="0"/>
          <w:szCs w:val="28"/>
          <w:lang w:bidi="zh-CN"/>
        </w:rPr>
      </w:pPr>
      <w:r>
        <w:rPr>
          <w:rFonts w:hint="eastAsia"/>
          <w:kern w:val="0"/>
          <w:szCs w:val="28"/>
          <w:lang w:bidi="zh-CN"/>
        </w:rPr>
        <w:lastRenderedPageBreak/>
        <w:t>中传环球新媒体科技有限公司</w:t>
      </w:r>
    </w:p>
    <w:p w:rsidR="009F037E" w:rsidRDefault="00C6602C">
      <w:pPr>
        <w:pStyle w:val="BodyText"/>
        <w:rPr>
          <w:kern w:val="0"/>
          <w:szCs w:val="28"/>
          <w:lang w:bidi="zh-CN"/>
        </w:rPr>
      </w:pPr>
      <w:r>
        <w:rPr>
          <w:rFonts w:hint="eastAsia"/>
          <w:kern w:val="0"/>
          <w:szCs w:val="28"/>
          <w:lang w:bidi="zh-CN"/>
        </w:rPr>
        <w:t>承办单位:北京</w:t>
      </w:r>
      <w:proofErr w:type="gramStart"/>
      <w:r>
        <w:rPr>
          <w:rFonts w:hint="eastAsia"/>
          <w:kern w:val="0"/>
          <w:szCs w:val="28"/>
          <w:lang w:bidi="zh-CN"/>
        </w:rPr>
        <w:t>工智信育成</w:t>
      </w:r>
      <w:proofErr w:type="gramEnd"/>
      <w:r>
        <w:rPr>
          <w:rFonts w:hint="eastAsia"/>
          <w:kern w:val="0"/>
          <w:szCs w:val="28"/>
          <w:lang w:bidi="zh-CN"/>
        </w:rPr>
        <w:t>产业咨询发展有限公司</w:t>
      </w:r>
    </w:p>
    <w:p w:rsidR="009F037E" w:rsidRDefault="00C6602C">
      <w:pPr>
        <w:pStyle w:val="BodyText"/>
        <w:rPr>
          <w:kern w:val="0"/>
          <w:szCs w:val="28"/>
          <w:lang w:bidi="zh-CN"/>
        </w:rPr>
      </w:pPr>
      <w:r>
        <w:rPr>
          <w:rFonts w:hint="eastAsia"/>
          <w:kern w:val="0"/>
          <w:szCs w:val="28"/>
          <w:lang w:bidi="zh-CN"/>
        </w:rPr>
        <w:t>协办单位:北京自在星球科技有限责任公司</w:t>
      </w:r>
    </w:p>
    <w:p w:rsidR="009F037E" w:rsidRDefault="00C6602C">
      <w:pPr>
        <w:pStyle w:val="BodyText"/>
        <w:rPr>
          <w:kern w:val="0"/>
          <w:szCs w:val="28"/>
          <w:lang w:bidi="zh-CN"/>
        </w:rPr>
      </w:pPr>
      <w:r>
        <w:rPr>
          <w:rFonts w:hint="eastAsia"/>
          <w:kern w:val="0"/>
          <w:szCs w:val="28"/>
          <w:lang w:bidi="zh-CN"/>
        </w:rPr>
        <w:t>北京智僚科技有限公司</w:t>
      </w:r>
    </w:p>
    <w:p w:rsidR="009F037E" w:rsidRDefault="00C6602C">
      <w:pPr>
        <w:pStyle w:val="BodyText"/>
        <w:rPr>
          <w:kern w:val="0"/>
          <w:szCs w:val="28"/>
          <w:lang w:bidi="zh-CN"/>
        </w:rPr>
      </w:pPr>
      <w:r>
        <w:rPr>
          <w:rFonts w:hint="eastAsia"/>
          <w:kern w:val="0"/>
          <w:szCs w:val="28"/>
          <w:lang w:bidi="zh-CN"/>
        </w:rPr>
        <w:t>北京热爱抱抱文化有限公司</w:t>
      </w:r>
    </w:p>
    <w:p w:rsidR="009F037E" w:rsidRDefault="00C6602C">
      <w:pPr>
        <w:pStyle w:val="BodyText"/>
        <w:rPr>
          <w:kern w:val="0"/>
          <w:szCs w:val="28"/>
          <w:lang w:bidi="zh-CN"/>
        </w:rPr>
      </w:pPr>
      <w:proofErr w:type="gramStart"/>
      <w:r>
        <w:rPr>
          <w:rFonts w:hint="eastAsia"/>
          <w:kern w:val="0"/>
          <w:szCs w:val="28"/>
          <w:lang w:bidi="zh-CN"/>
        </w:rPr>
        <w:t>北京始智</w:t>
      </w:r>
      <w:proofErr w:type="gramEnd"/>
      <w:r>
        <w:rPr>
          <w:rFonts w:hint="eastAsia"/>
          <w:kern w:val="0"/>
          <w:szCs w:val="28"/>
          <w:lang w:bidi="zh-CN"/>
        </w:rPr>
        <w:t>AI</w:t>
      </w:r>
    </w:p>
    <w:p w:rsidR="009F037E" w:rsidRDefault="00C6602C">
      <w:pPr>
        <w:pStyle w:val="BodyText"/>
        <w:rPr>
          <w:kern w:val="0"/>
          <w:szCs w:val="28"/>
          <w:lang w:bidi="zh-CN"/>
        </w:rPr>
      </w:pPr>
      <w:r>
        <w:rPr>
          <w:rFonts w:hint="eastAsia"/>
          <w:kern w:val="0"/>
          <w:szCs w:val="28"/>
          <w:lang w:bidi="zh-CN"/>
        </w:rPr>
        <w:t>中文天下文化有限公司</w:t>
      </w:r>
    </w:p>
    <w:p w:rsidR="009F037E" w:rsidRDefault="00C6602C">
      <w:pPr>
        <w:pStyle w:val="BodyText"/>
      </w:pPr>
      <w:r>
        <w:rPr>
          <w:rFonts w:hint="eastAsia"/>
          <w:kern w:val="0"/>
          <w:szCs w:val="28"/>
          <w:lang w:bidi="zh-CN"/>
        </w:rPr>
        <w:t>深圳云天畅想信息科技有限公司</w:t>
      </w:r>
    </w:p>
    <w:p w:rsidR="009F037E" w:rsidRDefault="00C6602C">
      <w:pPr>
        <w:ind w:firstLine="643"/>
        <w:rPr>
          <w:b/>
          <w:bCs/>
        </w:rPr>
      </w:pPr>
      <w:r>
        <w:rPr>
          <w:rFonts w:hint="eastAsia"/>
          <w:b/>
          <w:bCs/>
        </w:rPr>
        <w:t>第五条 竞赛安排</w:t>
      </w:r>
    </w:p>
    <w:p w:rsidR="009F037E" w:rsidRDefault="00C6602C">
      <w:pPr>
        <w:rPr>
          <w:rFonts w:ascii="楷体" w:eastAsia="楷体" w:hAnsi="楷体"/>
        </w:rPr>
      </w:pPr>
      <w:r>
        <w:rPr>
          <w:rFonts w:ascii="楷体" w:eastAsia="楷体" w:hAnsi="楷体" w:hint="eastAsia"/>
        </w:rPr>
        <w:t>（一）</w:t>
      </w:r>
      <w:r>
        <w:rPr>
          <w:rFonts w:eastAsia="楷体" w:hint="eastAsia"/>
          <w:bCs/>
        </w:rPr>
        <w:t>参赛基本条件</w:t>
      </w:r>
    </w:p>
    <w:p w:rsidR="009F037E" w:rsidRDefault="00C6602C">
      <w:r>
        <w:rPr>
          <w:rFonts w:hint="eastAsia"/>
        </w:rPr>
        <w:t>1、参赛对象</w:t>
      </w:r>
    </w:p>
    <w:p w:rsidR="009F037E" w:rsidRDefault="00C6602C">
      <w:r>
        <w:rPr>
          <w:rFonts w:hint="eastAsia"/>
        </w:rPr>
        <w:t>面向个人、团体和企业。其中高校学生、青少年及团队为项目组，企业则为企业组。</w:t>
      </w:r>
    </w:p>
    <w:p w:rsidR="009F037E" w:rsidRDefault="00C6602C">
      <w:pPr>
        <w:pStyle w:val="Heading3"/>
        <w:ind w:firstLine="640"/>
        <w:rPr>
          <w:rFonts w:eastAsia="仿宋"/>
        </w:rPr>
      </w:pPr>
      <w:r>
        <w:rPr>
          <w:rFonts w:hint="eastAsia"/>
        </w:rPr>
        <w:t>2</w:t>
      </w:r>
      <w:r>
        <w:rPr>
          <w:rFonts w:hint="eastAsia"/>
        </w:rPr>
        <w:t>、</w:t>
      </w:r>
      <w:r>
        <w:rPr>
          <w:rFonts w:eastAsia="仿宋" w:hint="eastAsia"/>
        </w:rPr>
        <w:t>赛道方向</w:t>
      </w:r>
    </w:p>
    <w:p w:rsidR="009F037E" w:rsidRDefault="00C6602C">
      <w:r>
        <w:rPr>
          <w:rFonts w:hint="eastAsia"/>
        </w:rPr>
        <w:t>（1）智慧文旅（服务、营销、监管、决策等方面）</w:t>
      </w:r>
    </w:p>
    <w:p w:rsidR="009F037E" w:rsidRDefault="00C6602C">
      <w:r>
        <w:rPr>
          <w:rFonts w:hint="eastAsia"/>
        </w:rPr>
        <w:t>（2）文化大数据、数字资源库及文旅大模型及应用</w:t>
      </w:r>
    </w:p>
    <w:p w:rsidR="009F037E" w:rsidRDefault="00C6602C">
      <w:r>
        <w:rPr>
          <w:rFonts w:hint="eastAsia"/>
        </w:rPr>
        <w:t>（3）文化和旅游新业态与新产品(沉浸式、数字藏品、数字内容等)</w:t>
      </w:r>
    </w:p>
    <w:p w:rsidR="009F037E" w:rsidRDefault="00C6602C">
      <w:pPr>
        <w:pStyle w:val="Heading3"/>
        <w:ind w:firstLine="640"/>
      </w:pPr>
      <w:r>
        <w:rPr>
          <w:rFonts w:eastAsia="仿宋" w:hint="eastAsia"/>
        </w:rPr>
        <w:t>（4）文化和旅游IP数字化及数字创意（含营销智能体）</w:t>
      </w:r>
    </w:p>
    <w:p w:rsidR="009F037E" w:rsidRDefault="00C6602C">
      <w:r>
        <w:rPr>
          <w:rFonts w:hint="eastAsia"/>
        </w:rPr>
        <w:t>3、申报条件</w:t>
      </w:r>
    </w:p>
    <w:p w:rsidR="009F037E" w:rsidRDefault="00C6602C">
      <w:r>
        <w:rPr>
          <w:rFonts w:hint="eastAsia"/>
        </w:rPr>
        <w:t>（1）参赛作品可为软件、方案、AI应用作品（包含并不限于图文、音乐、场景搭建、音视频、作品、IP等）；</w:t>
      </w:r>
    </w:p>
    <w:p w:rsidR="009F037E" w:rsidRDefault="00C6602C">
      <w:r>
        <w:rPr>
          <w:rFonts w:hint="eastAsia"/>
        </w:rPr>
        <w:t>（2）参赛作品必须具有原创性、创新性、新颖性；</w:t>
      </w:r>
    </w:p>
    <w:p w:rsidR="009F037E" w:rsidRDefault="00C6602C">
      <w:r>
        <w:rPr>
          <w:rFonts w:hint="eastAsia"/>
        </w:rPr>
        <w:lastRenderedPageBreak/>
        <w:t>（3）参赛作品应具有较强的实用性、可操作性和一定的市场前景；</w:t>
      </w:r>
    </w:p>
    <w:p w:rsidR="009F037E" w:rsidRDefault="00C6602C">
      <w:r>
        <w:rPr>
          <w:rFonts w:hint="eastAsia"/>
        </w:rPr>
        <w:t>（4）参赛作品须真实合法，不得侵犯他人知识产权；所涉及的发明创造、专利技术、资源等必须拥有清晰合法的知识产权或物权；涉及他人知识产权的，报名时需提交完整的具有法律效力的所有人书面授权许可书、专利证书等；抄袭、盗用、提供虚假材料或违反相关法律法规一经发现即刻取消参赛权利，并自负一切法律责任。对赛事声誉造成影响的，赛事组委会将追究法律责任。</w:t>
      </w:r>
    </w:p>
    <w:p w:rsidR="009F037E" w:rsidRDefault="00C6602C">
      <w:r>
        <w:rPr>
          <w:rFonts w:hint="eastAsia"/>
        </w:rPr>
        <w:t>（</w:t>
      </w:r>
      <w:r>
        <w:t>5）</w:t>
      </w:r>
      <w:r>
        <w:rPr>
          <w:rFonts w:hint="eastAsia"/>
        </w:rPr>
        <w:t>参赛作品若为已完成工商登记注册的创业项目，报名时需提交单位概况、法定代表人情况、股权结构、组织机构代码复印件等。</w:t>
      </w:r>
    </w:p>
    <w:p w:rsidR="009F037E" w:rsidRDefault="00C6602C">
      <w:pPr>
        <w:pStyle w:val="BodyText"/>
        <w:rPr>
          <w:kern w:val="0"/>
          <w:szCs w:val="28"/>
          <w:lang w:bidi="zh-CN"/>
        </w:rPr>
      </w:pPr>
      <w:r>
        <w:rPr>
          <w:rFonts w:hint="eastAsia"/>
          <w:kern w:val="0"/>
          <w:szCs w:val="28"/>
          <w:lang w:bidi="zh-CN"/>
        </w:rPr>
        <w:t>4、报名方式</w:t>
      </w:r>
    </w:p>
    <w:p w:rsidR="009F037E" w:rsidRDefault="00C6602C">
      <w:pPr>
        <w:pStyle w:val="BodyText"/>
        <w:rPr>
          <w:kern w:val="0"/>
          <w:szCs w:val="28"/>
          <w:lang w:bidi="zh-CN"/>
        </w:rPr>
      </w:pPr>
      <w:r>
        <w:rPr>
          <w:rFonts w:hint="eastAsia"/>
          <w:kern w:val="0"/>
          <w:szCs w:val="28"/>
          <w:lang w:bidi="zh-CN"/>
        </w:rPr>
        <w:t>详情见</w:t>
      </w:r>
      <w:proofErr w:type="gramStart"/>
      <w:r>
        <w:rPr>
          <w:rFonts w:hint="eastAsia"/>
          <w:kern w:val="0"/>
          <w:szCs w:val="28"/>
          <w:lang w:bidi="zh-CN"/>
        </w:rPr>
        <w:t>赛事官网</w:t>
      </w:r>
      <w:proofErr w:type="gramEnd"/>
      <w:r w:rsidR="00476206">
        <w:fldChar w:fldCharType="begin"/>
      </w:r>
      <w:r w:rsidR="00476206">
        <w:instrText xml:space="preserve"> HYPERLINK "http://aigc.ccmapp.cn/" </w:instrText>
      </w:r>
      <w:r w:rsidR="00476206">
        <w:fldChar w:fldCharType="separate"/>
      </w:r>
      <w:r>
        <w:rPr>
          <w:rStyle w:val="Hyperlink"/>
          <w:rFonts w:hint="eastAsia"/>
        </w:rPr>
        <w:t>http://aigc.ccmapp.cn/</w:t>
      </w:r>
      <w:r w:rsidR="00476206">
        <w:rPr>
          <w:rStyle w:val="Hyperlink"/>
        </w:rPr>
        <w:fldChar w:fldCharType="end"/>
      </w:r>
    </w:p>
    <w:p w:rsidR="009F037E" w:rsidRDefault="00C6602C">
      <w:r>
        <w:rPr>
          <w:rFonts w:hint="eastAsia"/>
        </w:rPr>
        <w:t>5、报名要求</w:t>
      </w:r>
    </w:p>
    <w:p w:rsidR="009F037E" w:rsidRDefault="00C6602C">
      <w:r>
        <w:rPr>
          <w:rFonts w:hint="eastAsia"/>
        </w:rPr>
        <w:t>（1）以技术、创作或相关结果呈现的作品，提交相关成果；</w:t>
      </w:r>
    </w:p>
    <w:p w:rsidR="009F037E" w:rsidRDefault="00C6602C">
      <w:r>
        <w:rPr>
          <w:rFonts w:hint="eastAsia"/>
        </w:rPr>
        <w:t>（2）以技术方案、软件方案及相关场景方案的作品或软件，需提交呈现资料及佐证材料；</w:t>
      </w:r>
    </w:p>
    <w:p w:rsidR="009F037E" w:rsidRDefault="00C6602C">
      <w:r>
        <w:rPr>
          <w:rFonts w:hint="eastAsia"/>
        </w:rPr>
        <w:t>（3）以技术、代码、应用或大数据，需上</w:t>
      </w:r>
      <w:proofErr w:type="gramStart"/>
      <w:r>
        <w:rPr>
          <w:rFonts w:hint="eastAsia"/>
        </w:rPr>
        <w:t>传部分</w:t>
      </w:r>
      <w:proofErr w:type="gramEnd"/>
      <w:r>
        <w:rPr>
          <w:rFonts w:hint="eastAsia"/>
        </w:rPr>
        <w:t>章节，以多重上传为主要方式。</w:t>
      </w:r>
    </w:p>
    <w:p w:rsidR="009F037E" w:rsidRDefault="00C6602C">
      <w:r>
        <w:rPr>
          <w:rFonts w:hint="eastAsia"/>
        </w:rPr>
        <w:t>6、参赛费用</w:t>
      </w:r>
    </w:p>
    <w:p w:rsidR="009F037E" w:rsidRDefault="00C6602C">
      <w:pPr>
        <w:rPr>
          <w:kern w:val="0"/>
          <w:szCs w:val="28"/>
          <w:lang w:bidi="zh-CN"/>
        </w:rPr>
      </w:pPr>
      <w:r>
        <w:rPr>
          <w:rFonts w:hint="eastAsia"/>
        </w:rPr>
        <w:t>参赛报名费300元（</w:t>
      </w:r>
      <w:proofErr w:type="gramStart"/>
      <w:r>
        <w:rPr>
          <w:rFonts w:hint="eastAsia"/>
        </w:rPr>
        <w:t>由费用</w:t>
      </w:r>
      <w:proofErr w:type="gramEnd"/>
      <w:r>
        <w:rPr>
          <w:rFonts w:hint="eastAsia"/>
        </w:rPr>
        <w:t>收取方开具发票）</w:t>
      </w:r>
    </w:p>
    <w:p w:rsidR="009F037E" w:rsidRDefault="00C6602C">
      <w:pPr>
        <w:numPr>
          <w:ilvl w:val="0"/>
          <w:numId w:val="2"/>
        </w:numPr>
        <w:rPr>
          <w:rFonts w:ascii="楷体" w:eastAsia="楷体" w:hAnsi="楷体"/>
        </w:rPr>
      </w:pPr>
      <w:r>
        <w:rPr>
          <w:rFonts w:ascii="楷体" w:eastAsia="楷体" w:hAnsi="楷体" w:hint="eastAsia"/>
        </w:rPr>
        <w:t>竞赛赛程</w:t>
      </w:r>
    </w:p>
    <w:p w:rsidR="009F037E" w:rsidRDefault="00C6602C">
      <w:pPr>
        <w:ind w:firstLineChars="0" w:firstLine="0"/>
        <w:rPr>
          <w:rFonts w:ascii="楷体" w:eastAsia="楷体" w:hAnsi="楷体"/>
        </w:rPr>
      </w:pPr>
      <w:r>
        <w:rPr>
          <w:rFonts w:ascii="楷体" w:eastAsia="楷体" w:hAnsi="楷体" w:hint="eastAsia"/>
        </w:rPr>
        <w:lastRenderedPageBreak/>
        <w:t xml:space="preserve"> </w:t>
      </w:r>
      <w:r>
        <w:rPr>
          <w:rFonts w:hint="eastAsia"/>
        </w:rPr>
        <w:t xml:space="preserve">    1、初赛</w:t>
      </w:r>
    </w:p>
    <w:p w:rsidR="009F037E" w:rsidRDefault="00C6602C">
      <w:pPr>
        <w:pStyle w:val="BodyText"/>
        <w:rPr>
          <w:kern w:val="0"/>
          <w:szCs w:val="28"/>
          <w:lang w:bidi="zh-CN"/>
        </w:rPr>
      </w:pPr>
      <w:r>
        <w:rPr>
          <w:rFonts w:hint="eastAsia"/>
          <w:kern w:val="0"/>
          <w:szCs w:val="28"/>
          <w:lang w:bidi="zh-CN"/>
        </w:rPr>
        <w:t>（1）地区初赛</w:t>
      </w:r>
    </w:p>
    <w:p w:rsidR="009F037E" w:rsidRDefault="00C6602C">
      <w:pPr>
        <w:pStyle w:val="BodyText"/>
      </w:pPr>
      <w:r>
        <w:rPr>
          <w:rFonts w:hint="eastAsia"/>
          <w:kern w:val="0"/>
          <w:szCs w:val="28"/>
          <w:lang w:bidi="zh-CN"/>
        </w:rPr>
        <w:t>共设8个赛区：</w:t>
      </w:r>
      <w:bookmarkStart w:id="1" w:name="_Hlk163034634"/>
      <w:r>
        <w:rPr>
          <w:rFonts w:hint="eastAsia"/>
          <w:kern w:val="0"/>
          <w:szCs w:val="28"/>
          <w:lang w:bidi="zh-CN"/>
        </w:rPr>
        <w:t>山东及东北赛区、</w:t>
      </w:r>
      <w:r w:rsidR="002D7358">
        <w:rPr>
          <w:rFonts w:hint="eastAsia"/>
          <w:kern w:val="0"/>
          <w:szCs w:val="28"/>
          <w:lang w:bidi="zh-CN"/>
        </w:rPr>
        <w:t>天津及河北</w:t>
      </w:r>
      <w:bookmarkStart w:id="2" w:name="_GoBack"/>
      <w:bookmarkEnd w:id="2"/>
      <w:r>
        <w:rPr>
          <w:rFonts w:hint="eastAsia"/>
          <w:kern w:val="0"/>
          <w:szCs w:val="28"/>
          <w:lang w:bidi="zh-CN"/>
        </w:rPr>
        <w:t>赛区、北京专区、华中赛区、大湾区及海峡经济区赛区、长三角赛区、西北赛区、西南赛区</w:t>
      </w:r>
      <w:bookmarkEnd w:id="1"/>
      <w:r>
        <w:rPr>
          <w:rFonts w:hint="eastAsia"/>
          <w:kern w:val="0"/>
          <w:szCs w:val="28"/>
          <w:lang w:bidi="zh-CN"/>
        </w:rPr>
        <w:t>。</w:t>
      </w:r>
    </w:p>
    <w:p w:rsidR="009F037E" w:rsidRDefault="00C6602C">
      <w:pPr>
        <w:pStyle w:val="BodyText"/>
        <w:rPr>
          <w:b/>
          <w:bCs/>
        </w:rPr>
      </w:pPr>
      <w:r>
        <w:rPr>
          <w:rFonts w:hint="eastAsia"/>
        </w:rPr>
        <w:t>（2）初赛时间</w:t>
      </w:r>
    </w:p>
    <w:p w:rsidR="009F037E" w:rsidRDefault="00C6602C">
      <w:pPr>
        <w:pStyle w:val="BodyText"/>
        <w:rPr>
          <w:b/>
          <w:bCs/>
        </w:rPr>
      </w:pPr>
      <w:r>
        <w:rPr>
          <w:rFonts w:hint="eastAsia"/>
        </w:rPr>
        <w:t>报名：2024年9月-10月，具体时间、地点及形式见大赛官网；</w:t>
      </w:r>
    </w:p>
    <w:p w:rsidR="009F037E" w:rsidRDefault="00C6602C">
      <w:pPr>
        <w:pStyle w:val="BodyText"/>
        <w:rPr>
          <w:b/>
          <w:bCs/>
        </w:rPr>
      </w:pPr>
      <w:r>
        <w:rPr>
          <w:rFonts w:hint="eastAsia"/>
        </w:rPr>
        <w:t>赛期：2024年11月-12月，具体时间、地点及形式见大赛官网；</w:t>
      </w:r>
    </w:p>
    <w:tbl>
      <w:tblPr>
        <w:tblpPr w:leftFromText="180" w:rightFromText="180" w:vertAnchor="text" w:horzAnchor="page" w:tblpX="1901" w:tblpY="641"/>
        <w:tblOverlap w:val="never"/>
        <w:tblW w:w="8347" w:type="dxa"/>
        <w:tblLayout w:type="fixed"/>
        <w:tblLook w:val="04A0" w:firstRow="1" w:lastRow="0" w:firstColumn="1" w:lastColumn="0" w:noHBand="0" w:noVBand="1"/>
      </w:tblPr>
      <w:tblGrid>
        <w:gridCol w:w="1701"/>
        <w:gridCol w:w="799"/>
        <w:gridCol w:w="5847"/>
      </w:tblGrid>
      <w:tr w:rsidR="009F037E">
        <w:trPr>
          <w:trHeight w:val="680"/>
        </w:trPr>
        <w:tc>
          <w:tcPr>
            <w:tcW w:w="8347" w:type="dxa"/>
            <w:gridSpan w:val="3"/>
            <w:tcBorders>
              <w:top w:val="single" w:sz="4" w:space="0" w:color="auto"/>
              <w:left w:val="single" w:sz="4" w:space="0" w:color="auto"/>
              <w:bottom w:val="single" w:sz="4" w:space="0" w:color="auto"/>
              <w:right w:val="single" w:sz="4" w:space="0" w:color="auto"/>
            </w:tcBorders>
            <w:shd w:val="clear" w:color="000000" w:fill="D3F4F1" w:themeFill="accent5" w:themeFillTint="33"/>
            <w:noWrap/>
            <w:vAlign w:val="center"/>
          </w:tcPr>
          <w:p w:rsidR="009F037E" w:rsidRDefault="00C6602C">
            <w:pPr>
              <w:pStyle w:val="BodyText"/>
              <w:ind w:firstLineChars="300" w:firstLine="964"/>
              <w:jc w:val="center"/>
              <w:rPr>
                <w:b/>
                <w:bCs/>
                <w:snapToGrid w:val="0"/>
                <w:sz w:val="28"/>
                <w:szCs w:val="28"/>
              </w:rPr>
            </w:pPr>
            <w:r>
              <w:rPr>
                <w:rFonts w:hint="eastAsia"/>
                <w:b/>
                <w:bCs/>
                <w:snapToGrid w:val="0"/>
              </w:rPr>
              <w:t>项目组-评分标准</w:t>
            </w:r>
          </w:p>
        </w:tc>
      </w:tr>
      <w:tr w:rsidR="009F037E">
        <w:trPr>
          <w:trHeight w:val="680"/>
        </w:trPr>
        <w:tc>
          <w:tcPr>
            <w:tcW w:w="1701" w:type="dxa"/>
            <w:tcBorders>
              <w:top w:val="single" w:sz="4" w:space="0" w:color="auto"/>
              <w:left w:val="single" w:sz="4" w:space="0" w:color="auto"/>
              <w:bottom w:val="single" w:sz="4" w:space="0" w:color="auto"/>
              <w:right w:val="single" w:sz="4" w:space="0" w:color="auto"/>
            </w:tcBorders>
            <w:shd w:val="clear" w:color="000000" w:fill="D3F4F1" w:themeFill="accent5" w:themeFillTint="33"/>
            <w:noWrap/>
            <w:vAlign w:val="center"/>
          </w:tcPr>
          <w:p w:rsidR="009F037E" w:rsidRDefault="00C6602C">
            <w:pPr>
              <w:ind w:firstLineChars="100" w:firstLine="281"/>
              <w:jc w:val="both"/>
              <w:rPr>
                <w:b/>
                <w:bCs/>
                <w:snapToGrid w:val="0"/>
                <w:sz w:val="28"/>
                <w:szCs w:val="28"/>
              </w:rPr>
            </w:pPr>
            <w:r>
              <w:rPr>
                <w:rFonts w:hint="eastAsia"/>
                <w:b/>
                <w:bCs/>
                <w:snapToGrid w:val="0"/>
                <w:sz w:val="28"/>
                <w:szCs w:val="28"/>
              </w:rPr>
              <w:t>评分项</w:t>
            </w:r>
          </w:p>
        </w:tc>
        <w:tc>
          <w:tcPr>
            <w:tcW w:w="799" w:type="dxa"/>
            <w:tcBorders>
              <w:top w:val="single" w:sz="4" w:space="0" w:color="auto"/>
              <w:left w:val="nil"/>
              <w:bottom w:val="single" w:sz="4" w:space="0" w:color="auto"/>
              <w:right w:val="single" w:sz="4" w:space="0" w:color="auto"/>
            </w:tcBorders>
            <w:shd w:val="clear" w:color="000000" w:fill="D3F4F1" w:themeFill="accent5" w:themeFillTint="33"/>
            <w:noWrap/>
            <w:vAlign w:val="center"/>
          </w:tcPr>
          <w:p w:rsidR="009F037E" w:rsidRDefault="00C6602C">
            <w:pPr>
              <w:ind w:firstLineChars="0" w:firstLine="0"/>
              <w:jc w:val="both"/>
              <w:rPr>
                <w:b/>
                <w:bCs/>
                <w:snapToGrid w:val="0"/>
                <w:sz w:val="28"/>
                <w:szCs w:val="28"/>
              </w:rPr>
            </w:pPr>
            <w:r>
              <w:rPr>
                <w:rFonts w:hint="eastAsia"/>
                <w:b/>
                <w:bCs/>
                <w:snapToGrid w:val="0"/>
                <w:sz w:val="28"/>
                <w:szCs w:val="28"/>
              </w:rPr>
              <w:t>分值</w:t>
            </w:r>
          </w:p>
        </w:tc>
        <w:tc>
          <w:tcPr>
            <w:tcW w:w="5847" w:type="dxa"/>
            <w:tcBorders>
              <w:top w:val="single" w:sz="4" w:space="0" w:color="auto"/>
              <w:left w:val="nil"/>
              <w:bottom w:val="single" w:sz="4" w:space="0" w:color="auto"/>
              <w:right w:val="single" w:sz="4" w:space="0" w:color="auto"/>
            </w:tcBorders>
            <w:shd w:val="clear" w:color="000000" w:fill="D3F4F1" w:themeFill="accent5" w:themeFillTint="33"/>
            <w:noWrap/>
            <w:vAlign w:val="center"/>
          </w:tcPr>
          <w:p w:rsidR="009F037E" w:rsidRDefault="00C6602C">
            <w:pPr>
              <w:ind w:firstLineChars="800" w:firstLine="2249"/>
              <w:jc w:val="both"/>
              <w:rPr>
                <w:b/>
                <w:bCs/>
                <w:snapToGrid w:val="0"/>
                <w:sz w:val="28"/>
                <w:szCs w:val="28"/>
              </w:rPr>
            </w:pPr>
            <w:r>
              <w:rPr>
                <w:rFonts w:hint="eastAsia"/>
                <w:b/>
                <w:bCs/>
                <w:snapToGrid w:val="0"/>
                <w:sz w:val="28"/>
                <w:szCs w:val="28"/>
              </w:rPr>
              <w:t>评分要点</w:t>
            </w:r>
          </w:p>
        </w:tc>
      </w:tr>
      <w:tr w:rsidR="009F037E">
        <w:trPr>
          <w:trHeight w:val="6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37E" w:rsidRDefault="00C6602C">
            <w:pPr>
              <w:ind w:firstLineChars="100" w:firstLine="280"/>
              <w:rPr>
                <w:snapToGrid w:val="0"/>
                <w:sz w:val="28"/>
                <w:szCs w:val="28"/>
              </w:rPr>
            </w:pPr>
            <w:r>
              <w:rPr>
                <w:rFonts w:hint="eastAsia"/>
                <w:snapToGrid w:val="0"/>
                <w:sz w:val="28"/>
                <w:szCs w:val="28"/>
              </w:rPr>
              <w:t>创新性</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15</w:t>
            </w:r>
          </w:p>
        </w:tc>
        <w:tc>
          <w:tcPr>
            <w:tcW w:w="5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项目创意、实施方案、切入点准确独特</w:t>
            </w:r>
          </w:p>
        </w:tc>
      </w:tr>
      <w:tr w:rsidR="009F037E">
        <w:trPr>
          <w:trHeight w:val="68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037E" w:rsidRDefault="00C6602C">
            <w:pPr>
              <w:ind w:firstLineChars="100" w:firstLine="280"/>
              <w:rPr>
                <w:snapToGrid w:val="0"/>
                <w:sz w:val="28"/>
                <w:szCs w:val="28"/>
              </w:rPr>
            </w:pPr>
            <w:r>
              <w:rPr>
                <w:rFonts w:hint="eastAsia"/>
                <w:snapToGrid w:val="0"/>
                <w:sz w:val="28"/>
                <w:szCs w:val="28"/>
              </w:rPr>
              <w:t>可行性</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25</w:t>
            </w:r>
          </w:p>
        </w:tc>
        <w:tc>
          <w:tcPr>
            <w:tcW w:w="5847" w:type="dxa"/>
            <w:tcBorders>
              <w:top w:val="single" w:sz="4" w:space="0" w:color="auto"/>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投入产出比、市场可接受程度、发展潜力</w:t>
            </w:r>
          </w:p>
        </w:tc>
      </w:tr>
      <w:tr w:rsidR="009F037E">
        <w:trPr>
          <w:trHeight w:val="68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F037E" w:rsidRDefault="00C6602C">
            <w:pPr>
              <w:ind w:firstLineChars="100" w:firstLine="280"/>
              <w:rPr>
                <w:snapToGrid w:val="0"/>
                <w:sz w:val="28"/>
                <w:szCs w:val="28"/>
              </w:rPr>
            </w:pPr>
            <w:r>
              <w:rPr>
                <w:rFonts w:hint="eastAsia"/>
                <w:snapToGrid w:val="0"/>
                <w:sz w:val="28"/>
                <w:szCs w:val="28"/>
              </w:rPr>
              <w:t>完成度</w:t>
            </w:r>
          </w:p>
        </w:tc>
        <w:tc>
          <w:tcPr>
            <w:tcW w:w="799" w:type="dxa"/>
            <w:tcBorders>
              <w:top w:val="nil"/>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25</w:t>
            </w:r>
          </w:p>
        </w:tc>
        <w:tc>
          <w:tcPr>
            <w:tcW w:w="5847" w:type="dxa"/>
            <w:tcBorders>
              <w:top w:val="nil"/>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作品完成度、陈述完整度</w:t>
            </w:r>
          </w:p>
        </w:tc>
      </w:tr>
      <w:tr w:rsidR="009F037E">
        <w:trPr>
          <w:trHeight w:val="68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F037E" w:rsidRDefault="00C6602C">
            <w:pPr>
              <w:ind w:firstLineChars="100" w:firstLine="280"/>
              <w:rPr>
                <w:snapToGrid w:val="0"/>
                <w:sz w:val="28"/>
                <w:szCs w:val="28"/>
              </w:rPr>
            </w:pPr>
            <w:r>
              <w:rPr>
                <w:rFonts w:hint="eastAsia"/>
                <w:snapToGrid w:val="0"/>
                <w:sz w:val="28"/>
                <w:szCs w:val="28"/>
              </w:rPr>
              <w:t>艺术性</w:t>
            </w:r>
          </w:p>
        </w:tc>
        <w:tc>
          <w:tcPr>
            <w:tcW w:w="799" w:type="dxa"/>
            <w:tcBorders>
              <w:top w:val="nil"/>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25</w:t>
            </w:r>
          </w:p>
        </w:tc>
        <w:tc>
          <w:tcPr>
            <w:tcW w:w="5847" w:type="dxa"/>
            <w:tcBorders>
              <w:top w:val="nil"/>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艺术指标评价</w:t>
            </w:r>
          </w:p>
        </w:tc>
      </w:tr>
      <w:tr w:rsidR="009F037E">
        <w:trPr>
          <w:trHeight w:val="680"/>
        </w:trPr>
        <w:tc>
          <w:tcPr>
            <w:tcW w:w="1701" w:type="dxa"/>
            <w:tcBorders>
              <w:top w:val="nil"/>
              <w:left w:val="single" w:sz="4" w:space="0" w:color="auto"/>
              <w:bottom w:val="single" w:sz="4" w:space="0" w:color="auto"/>
              <w:right w:val="single" w:sz="4" w:space="0" w:color="auto"/>
            </w:tcBorders>
            <w:shd w:val="clear" w:color="auto" w:fill="auto"/>
            <w:noWrap/>
            <w:vAlign w:val="center"/>
          </w:tcPr>
          <w:p w:rsidR="009F037E" w:rsidRDefault="00C6602C">
            <w:pPr>
              <w:ind w:firstLineChars="100" w:firstLine="280"/>
              <w:rPr>
                <w:snapToGrid w:val="0"/>
                <w:sz w:val="28"/>
                <w:szCs w:val="28"/>
              </w:rPr>
            </w:pPr>
            <w:r>
              <w:rPr>
                <w:rFonts w:hint="eastAsia"/>
                <w:snapToGrid w:val="0"/>
                <w:sz w:val="28"/>
                <w:szCs w:val="28"/>
              </w:rPr>
              <w:t>项目展示</w:t>
            </w:r>
          </w:p>
        </w:tc>
        <w:tc>
          <w:tcPr>
            <w:tcW w:w="799" w:type="dxa"/>
            <w:tcBorders>
              <w:top w:val="nil"/>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10</w:t>
            </w:r>
          </w:p>
        </w:tc>
        <w:tc>
          <w:tcPr>
            <w:tcW w:w="5847" w:type="dxa"/>
            <w:tcBorders>
              <w:top w:val="nil"/>
              <w:left w:val="nil"/>
              <w:bottom w:val="single" w:sz="4" w:space="0" w:color="auto"/>
              <w:right w:val="single" w:sz="4" w:space="0" w:color="auto"/>
            </w:tcBorders>
            <w:shd w:val="clear" w:color="auto" w:fill="auto"/>
            <w:noWrap/>
            <w:vAlign w:val="center"/>
          </w:tcPr>
          <w:p w:rsidR="009F037E" w:rsidRDefault="00C6602C">
            <w:pPr>
              <w:ind w:firstLineChars="0" w:firstLine="0"/>
              <w:rPr>
                <w:snapToGrid w:val="0"/>
                <w:sz w:val="28"/>
                <w:szCs w:val="28"/>
              </w:rPr>
            </w:pPr>
            <w:r>
              <w:rPr>
                <w:rFonts w:hint="eastAsia"/>
                <w:snapToGrid w:val="0"/>
                <w:sz w:val="28"/>
                <w:szCs w:val="28"/>
              </w:rPr>
              <w:t>内容完整、逻辑清晰</w:t>
            </w:r>
          </w:p>
        </w:tc>
      </w:tr>
    </w:tbl>
    <w:p w:rsidR="009F037E" w:rsidRDefault="00C6602C">
      <w:pPr>
        <w:pStyle w:val="BodyText"/>
        <w:rPr>
          <w:snapToGrid w:val="0"/>
        </w:rPr>
      </w:pPr>
      <w:r>
        <w:rPr>
          <w:rFonts w:hint="eastAsia"/>
        </w:rPr>
        <w:t>（3）评分标准</w:t>
      </w:r>
    </w:p>
    <w:tbl>
      <w:tblPr>
        <w:tblStyle w:val="TableGrid"/>
        <w:tblpPr w:leftFromText="180" w:rightFromText="180" w:vertAnchor="text" w:horzAnchor="page" w:tblpX="1918" w:tblpY="290"/>
        <w:tblOverlap w:val="never"/>
        <w:tblW w:w="8359" w:type="dxa"/>
        <w:tblLayout w:type="fixed"/>
        <w:tblLook w:val="04A0" w:firstRow="1" w:lastRow="0" w:firstColumn="1" w:lastColumn="0" w:noHBand="0" w:noVBand="1"/>
      </w:tblPr>
      <w:tblGrid>
        <w:gridCol w:w="1700"/>
        <w:gridCol w:w="809"/>
        <w:gridCol w:w="5850"/>
      </w:tblGrid>
      <w:tr w:rsidR="009F037E">
        <w:trPr>
          <w:trHeight w:val="680"/>
        </w:trPr>
        <w:tc>
          <w:tcPr>
            <w:tcW w:w="8359" w:type="dxa"/>
            <w:gridSpan w:val="3"/>
            <w:shd w:val="clear" w:color="auto" w:fill="D4F4F1" w:themeFill="accent5" w:themeFillTint="32"/>
            <w:noWrap/>
          </w:tcPr>
          <w:p w:rsidR="009F037E" w:rsidRDefault="00C6602C">
            <w:pPr>
              <w:pStyle w:val="BodyText"/>
              <w:ind w:firstLineChars="1000" w:firstLine="3213"/>
              <w:jc w:val="both"/>
              <w:rPr>
                <w:b/>
                <w:bCs/>
                <w:snapToGrid w:val="0"/>
                <w:sz w:val="28"/>
                <w:szCs w:val="28"/>
              </w:rPr>
            </w:pPr>
            <w:r>
              <w:rPr>
                <w:rFonts w:hint="eastAsia"/>
                <w:b/>
                <w:bCs/>
                <w:snapToGrid w:val="0"/>
              </w:rPr>
              <w:lastRenderedPageBreak/>
              <w:t>企业组-评分标准</w:t>
            </w:r>
          </w:p>
        </w:tc>
      </w:tr>
      <w:tr w:rsidR="009F037E">
        <w:trPr>
          <w:trHeight w:val="680"/>
        </w:trPr>
        <w:tc>
          <w:tcPr>
            <w:tcW w:w="1700" w:type="dxa"/>
            <w:shd w:val="clear" w:color="auto" w:fill="D4F4F1" w:themeFill="accent5" w:themeFillTint="32"/>
            <w:noWrap/>
          </w:tcPr>
          <w:p w:rsidR="009F037E" w:rsidRDefault="00C6602C">
            <w:pPr>
              <w:ind w:firstLineChars="100" w:firstLine="281"/>
              <w:jc w:val="center"/>
              <w:rPr>
                <w:b/>
                <w:bCs/>
                <w:snapToGrid w:val="0"/>
                <w:sz w:val="28"/>
                <w:szCs w:val="28"/>
              </w:rPr>
            </w:pPr>
            <w:r>
              <w:rPr>
                <w:rFonts w:hint="eastAsia"/>
                <w:b/>
                <w:bCs/>
                <w:snapToGrid w:val="0"/>
                <w:sz w:val="28"/>
                <w:szCs w:val="28"/>
              </w:rPr>
              <w:t>评分项</w:t>
            </w:r>
          </w:p>
        </w:tc>
        <w:tc>
          <w:tcPr>
            <w:tcW w:w="809" w:type="dxa"/>
            <w:shd w:val="clear" w:color="auto" w:fill="D4F4F1" w:themeFill="accent5" w:themeFillTint="32"/>
            <w:noWrap/>
          </w:tcPr>
          <w:p w:rsidR="009F037E" w:rsidRDefault="00C6602C">
            <w:pPr>
              <w:ind w:firstLineChars="0" w:firstLine="0"/>
              <w:jc w:val="center"/>
              <w:rPr>
                <w:b/>
                <w:bCs/>
                <w:snapToGrid w:val="0"/>
                <w:sz w:val="28"/>
                <w:szCs w:val="28"/>
              </w:rPr>
            </w:pPr>
            <w:r>
              <w:rPr>
                <w:rFonts w:hint="eastAsia"/>
                <w:b/>
                <w:bCs/>
                <w:snapToGrid w:val="0"/>
                <w:sz w:val="28"/>
                <w:szCs w:val="28"/>
              </w:rPr>
              <w:t>分值</w:t>
            </w:r>
          </w:p>
        </w:tc>
        <w:tc>
          <w:tcPr>
            <w:tcW w:w="5850" w:type="dxa"/>
            <w:shd w:val="clear" w:color="auto" w:fill="D4F4F1" w:themeFill="accent5" w:themeFillTint="32"/>
            <w:noWrap/>
          </w:tcPr>
          <w:p w:rsidR="009F037E" w:rsidRDefault="00C6602C">
            <w:pPr>
              <w:ind w:firstLineChars="700" w:firstLine="1968"/>
              <w:jc w:val="both"/>
              <w:rPr>
                <w:b/>
                <w:bCs/>
                <w:snapToGrid w:val="0"/>
                <w:sz w:val="28"/>
                <w:szCs w:val="28"/>
              </w:rPr>
            </w:pPr>
            <w:r>
              <w:rPr>
                <w:rFonts w:hint="eastAsia"/>
                <w:b/>
                <w:bCs/>
                <w:snapToGrid w:val="0"/>
                <w:sz w:val="28"/>
                <w:szCs w:val="28"/>
              </w:rPr>
              <w:t>评分要点</w:t>
            </w:r>
          </w:p>
        </w:tc>
      </w:tr>
      <w:tr w:rsidR="009F037E">
        <w:trPr>
          <w:trHeight w:val="680"/>
        </w:trPr>
        <w:tc>
          <w:tcPr>
            <w:tcW w:w="1700" w:type="dxa"/>
            <w:noWrap/>
          </w:tcPr>
          <w:p w:rsidR="009F037E" w:rsidRDefault="00C6602C">
            <w:pPr>
              <w:pStyle w:val="BodyTextFirstIndent"/>
              <w:rPr>
                <w:rFonts w:ascii="仿宋" w:eastAsia="仿宋"/>
                <w:sz w:val="28"/>
                <w:szCs w:val="28"/>
              </w:rPr>
            </w:pPr>
            <w:r>
              <w:rPr>
                <w:rFonts w:ascii="仿宋" w:eastAsia="仿宋" w:hint="eastAsia"/>
                <w:sz w:val="28"/>
                <w:szCs w:val="28"/>
              </w:rPr>
              <w:t>创新</w:t>
            </w:r>
          </w:p>
        </w:tc>
        <w:tc>
          <w:tcPr>
            <w:tcW w:w="809" w:type="dxa"/>
            <w:noWrap/>
          </w:tcPr>
          <w:p w:rsidR="009F037E" w:rsidRDefault="00C6602C">
            <w:pPr>
              <w:pStyle w:val="BodyTextFirstIndent"/>
              <w:rPr>
                <w:rFonts w:ascii="仿宋" w:eastAsia="仿宋"/>
                <w:sz w:val="28"/>
                <w:szCs w:val="28"/>
              </w:rPr>
            </w:pPr>
            <w:r>
              <w:rPr>
                <w:rFonts w:ascii="仿宋" w:eastAsia="仿宋"/>
                <w:sz w:val="28"/>
                <w:szCs w:val="28"/>
              </w:rPr>
              <w:t>35</w:t>
            </w:r>
          </w:p>
        </w:tc>
        <w:tc>
          <w:tcPr>
            <w:tcW w:w="5850" w:type="dxa"/>
            <w:noWrap/>
          </w:tcPr>
          <w:p w:rsidR="009F037E" w:rsidRDefault="00C6602C">
            <w:pPr>
              <w:pStyle w:val="BodyTextFirstIndent"/>
              <w:rPr>
                <w:rFonts w:ascii="仿宋" w:eastAsia="仿宋"/>
                <w:sz w:val="28"/>
                <w:szCs w:val="28"/>
              </w:rPr>
            </w:pPr>
            <w:r>
              <w:rPr>
                <w:rFonts w:ascii="仿宋" w:eastAsia="仿宋" w:hint="eastAsia"/>
                <w:sz w:val="28"/>
                <w:szCs w:val="28"/>
              </w:rPr>
              <w:t>创新性、独特性、原创性</w:t>
            </w:r>
          </w:p>
        </w:tc>
      </w:tr>
      <w:tr w:rsidR="009F037E">
        <w:trPr>
          <w:trHeight w:val="680"/>
        </w:trPr>
        <w:tc>
          <w:tcPr>
            <w:tcW w:w="1700" w:type="dxa"/>
            <w:noWrap/>
          </w:tcPr>
          <w:p w:rsidR="009F037E" w:rsidRDefault="00C6602C">
            <w:pPr>
              <w:pStyle w:val="BodyTextFirstIndent"/>
              <w:rPr>
                <w:rFonts w:ascii="仿宋" w:eastAsia="仿宋"/>
                <w:sz w:val="28"/>
                <w:szCs w:val="28"/>
              </w:rPr>
            </w:pPr>
            <w:r>
              <w:rPr>
                <w:rFonts w:ascii="仿宋" w:eastAsia="仿宋" w:hint="eastAsia"/>
                <w:sz w:val="28"/>
                <w:szCs w:val="28"/>
              </w:rPr>
              <w:t>技术实现</w:t>
            </w:r>
          </w:p>
        </w:tc>
        <w:tc>
          <w:tcPr>
            <w:tcW w:w="809" w:type="dxa"/>
            <w:noWrap/>
          </w:tcPr>
          <w:p w:rsidR="009F037E" w:rsidRDefault="00C6602C">
            <w:pPr>
              <w:pStyle w:val="BodyTextFirstIndent"/>
              <w:rPr>
                <w:rFonts w:ascii="仿宋" w:eastAsia="仿宋"/>
                <w:sz w:val="28"/>
                <w:szCs w:val="28"/>
              </w:rPr>
            </w:pPr>
            <w:r>
              <w:rPr>
                <w:rFonts w:ascii="仿宋" w:eastAsia="仿宋"/>
                <w:sz w:val="28"/>
                <w:szCs w:val="28"/>
              </w:rPr>
              <w:t>30</w:t>
            </w:r>
          </w:p>
        </w:tc>
        <w:tc>
          <w:tcPr>
            <w:tcW w:w="5850" w:type="dxa"/>
            <w:noWrap/>
          </w:tcPr>
          <w:p w:rsidR="009F037E" w:rsidRDefault="00C6602C">
            <w:pPr>
              <w:pStyle w:val="BodyTextFirstIndent"/>
              <w:rPr>
                <w:rFonts w:ascii="仿宋" w:eastAsia="仿宋"/>
                <w:sz w:val="28"/>
                <w:szCs w:val="28"/>
              </w:rPr>
            </w:pPr>
            <w:r>
              <w:rPr>
                <w:rFonts w:ascii="仿宋" w:eastAsia="仿宋" w:hint="eastAsia"/>
                <w:sz w:val="28"/>
                <w:szCs w:val="28"/>
              </w:rPr>
              <w:t>算法复杂度、先进性、稳定性和可维护性</w:t>
            </w:r>
          </w:p>
        </w:tc>
      </w:tr>
      <w:tr w:rsidR="009F037E">
        <w:trPr>
          <w:trHeight w:val="680"/>
        </w:trPr>
        <w:tc>
          <w:tcPr>
            <w:tcW w:w="1700" w:type="dxa"/>
            <w:noWrap/>
          </w:tcPr>
          <w:p w:rsidR="009F037E" w:rsidRDefault="00C6602C">
            <w:pPr>
              <w:pStyle w:val="BodyTextFirstIndent"/>
              <w:rPr>
                <w:rFonts w:ascii="仿宋" w:eastAsia="仿宋"/>
                <w:sz w:val="28"/>
                <w:szCs w:val="28"/>
              </w:rPr>
            </w:pPr>
            <w:r>
              <w:rPr>
                <w:rFonts w:ascii="仿宋" w:eastAsia="仿宋" w:hint="eastAsia"/>
                <w:sz w:val="28"/>
                <w:szCs w:val="28"/>
              </w:rPr>
              <w:t>用户体验</w:t>
            </w:r>
          </w:p>
        </w:tc>
        <w:tc>
          <w:tcPr>
            <w:tcW w:w="809" w:type="dxa"/>
            <w:noWrap/>
          </w:tcPr>
          <w:p w:rsidR="009F037E" w:rsidRDefault="00C6602C">
            <w:pPr>
              <w:pStyle w:val="BodyTextFirstIndent"/>
              <w:rPr>
                <w:rFonts w:ascii="仿宋" w:eastAsia="仿宋"/>
                <w:sz w:val="28"/>
                <w:szCs w:val="28"/>
              </w:rPr>
            </w:pPr>
            <w:r>
              <w:rPr>
                <w:rFonts w:ascii="仿宋" w:eastAsia="仿宋"/>
                <w:sz w:val="28"/>
                <w:szCs w:val="28"/>
              </w:rPr>
              <w:t>20</w:t>
            </w:r>
          </w:p>
        </w:tc>
        <w:tc>
          <w:tcPr>
            <w:tcW w:w="5850" w:type="dxa"/>
            <w:noWrap/>
          </w:tcPr>
          <w:p w:rsidR="009F037E" w:rsidRDefault="00C6602C">
            <w:pPr>
              <w:pStyle w:val="BodyTextFirstIndent"/>
              <w:rPr>
                <w:rFonts w:ascii="仿宋" w:eastAsia="仿宋"/>
                <w:sz w:val="28"/>
                <w:szCs w:val="28"/>
              </w:rPr>
            </w:pPr>
            <w:r>
              <w:rPr>
                <w:rFonts w:ascii="仿宋" w:eastAsia="仿宋" w:hint="eastAsia"/>
                <w:sz w:val="28"/>
                <w:szCs w:val="28"/>
              </w:rPr>
              <w:t>易用性、互动性、用户满意度及难度</w:t>
            </w:r>
          </w:p>
        </w:tc>
      </w:tr>
      <w:tr w:rsidR="009F037E">
        <w:trPr>
          <w:trHeight w:val="680"/>
        </w:trPr>
        <w:tc>
          <w:tcPr>
            <w:tcW w:w="1700" w:type="dxa"/>
            <w:noWrap/>
          </w:tcPr>
          <w:p w:rsidR="009F037E" w:rsidRDefault="00C6602C">
            <w:pPr>
              <w:pStyle w:val="BodyTextFirstIndent"/>
              <w:rPr>
                <w:rFonts w:ascii="仿宋" w:eastAsia="仿宋"/>
                <w:sz w:val="28"/>
                <w:szCs w:val="28"/>
              </w:rPr>
            </w:pPr>
            <w:r>
              <w:rPr>
                <w:rFonts w:ascii="仿宋" w:eastAsia="仿宋" w:hint="eastAsia"/>
                <w:sz w:val="28"/>
                <w:szCs w:val="28"/>
              </w:rPr>
              <w:t>市场表现</w:t>
            </w:r>
          </w:p>
        </w:tc>
        <w:tc>
          <w:tcPr>
            <w:tcW w:w="809" w:type="dxa"/>
            <w:noWrap/>
          </w:tcPr>
          <w:p w:rsidR="009F037E" w:rsidRDefault="00C6602C">
            <w:pPr>
              <w:pStyle w:val="BodyTextFirstIndent"/>
              <w:rPr>
                <w:rFonts w:ascii="仿宋" w:eastAsia="仿宋"/>
                <w:sz w:val="28"/>
                <w:szCs w:val="28"/>
              </w:rPr>
            </w:pPr>
            <w:r>
              <w:rPr>
                <w:rFonts w:ascii="仿宋" w:eastAsia="仿宋"/>
                <w:sz w:val="28"/>
                <w:szCs w:val="28"/>
              </w:rPr>
              <w:t>15</w:t>
            </w:r>
          </w:p>
        </w:tc>
        <w:tc>
          <w:tcPr>
            <w:tcW w:w="5850" w:type="dxa"/>
            <w:noWrap/>
          </w:tcPr>
          <w:p w:rsidR="009F037E" w:rsidRDefault="00C6602C">
            <w:pPr>
              <w:pStyle w:val="BodyTextFirstIndent"/>
              <w:rPr>
                <w:rFonts w:ascii="仿宋" w:eastAsia="仿宋"/>
                <w:sz w:val="28"/>
                <w:szCs w:val="28"/>
              </w:rPr>
            </w:pPr>
            <w:r>
              <w:rPr>
                <w:rFonts w:ascii="仿宋" w:eastAsia="仿宋" w:hint="eastAsia"/>
                <w:sz w:val="28"/>
                <w:szCs w:val="28"/>
              </w:rPr>
              <w:t>应用范围、商业价值、市场接受度、增长空间</w:t>
            </w:r>
          </w:p>
        </w:tc>
      </w:tr>
    </w:tbl>
    <w:p w:rsidR="009F037E" w:rsidRDefault="00C6602C">
      <w:pPr>
        <w:pStyle w:val="BodyText"/>
      </w:pPr>
      <w:r>
        <w:rPr>
          <w:rFonts w:hint="eastAsia"/>
        </w:rPr>
        <w:t>（4）评审方式</w:t>
      </w:r>
    </w:p>
    <w:p w:rsidR="009F037E" w:rsidRDefault="00C6602C">
      <w:pPr>
        <w:pStyle w:val="BodyText"/>
      </w:pPr>
      <w:r>
        <w:rPr>
          <w:rFonts w:hint="eastAsia"/>
        </w:rPr>
        <w:t>线上/线下</w:t>
      </w:r>
    </w:p>
    <w:p w:rsidR="009F037E" w:rsidRDefault="00C6602C">
      <w:pPr>
        <w:pStyle w:val="BodyText"/>
      </w:pPr>
      <w:r>
        <w:rPr>
          <w:rFonts w:hint="eastAsia"/>
        </w:rPr>
        <w:t>（5）奖项设置</w:t>
      </w:r>
    </w:p>
    <w:p w:rsidR="009F037E" w:rsidRDefault="00C6602C">
      <w:pPr>
        <w:pStyle w:val="BodyText"/>
        <w:rPr>
          <w:highlight w:val="yellow"/>
        </w:rPr>
      </w:pPr>
      <w:r>
        <w:rPr>
          <w:rFonts w:hint="eastAsia"/>
        </w:rPr>
        <w:t>1）地区初赛，</w:t>
      </w:r>
      <w:proofErr w:type="gramStart"/>
      <w:r>
        <w:rPr>
          <w:rFonts w:hint="eastAsia"/>
        </w:rPr>
        <w:t>项目组和企业组分别按照总报名人数的15%入围决赛</w:t>
      </w:r>
      <w:proofErr w:type="gramEnd"/>
      <w:r>
        <w:rPr>
          <w:rFonts w:hint="eastAsia"/>
        </w:rPr>
        <w:t>，合为一个晋级组。</w:t>
      </w:r>
      <w:proofErr w:type="gramStart"/>
      <w:r>
        <w:rPr>
          <w:rFonts w:hint="eastAsia"/>
        </w:rPr>
        <w:t>赛事官网公示</w:t>
      </w:r>
      <w:proofErr w:type="gramEnd"/>
      <w:r>
        <w:rPr>
          <w:rFonts w:hint="eastAsia"/>
        </w:rPr>
        <w:t>入围晋级名单，组委会可为参赛选手提供参赛证明。</w:t>
      </w:r>
    </w:p>
    <w:p w:rsidR="009F037E" w:rsidRDefault="00C6602C">
      <w:pPr>
        <w:pStyle w:val="BodyText"/>
      </w:pPr>
      <w:r>
        <w:rPr>
          <w:rFonts w:hint="eastAsia"/>
        </w:rPr>
        <w:t>2）地区初赛将评选出若干单项奖及优秀组织奖，赛事官网公示单项奖及优秀组织奖名单，并由赞助商实施奖励。</w:t>
      </w:r>
    </w:p>
    <w:p w:rsidR="009F037E" w:rsidRDefault="00C6602C">
      <w:pPr>
        <w:pStyle w:val="Heading3"/>
        <w:ind w:firstLine="640"/>
        <w:rPr>
          <w:rFonts w:eastAsia="仿宋"/>
          <w:bCs w:val="0"/>
        </w:rPr>
      </w:pPr>
      <w:r>
        <w:rPr>
          <w:rFonts w:eastAsia="仿宋" w:hint="eastAsia"/>
          <w:bCs w:val="0"/>
        </w:rPr>
        <w:t>2、决赛</w:t>
      </w:r>
    </w:p>
    <w:p w:rsidR="009F037E" w:rsidRDefault="00C6602C">
      <w:r>
        <w:rPr>
          <w:rFonts w:hint="eastAsia"/>
        </w:rPr>
        <w:t>（1）决赛时间</w:t>
      </w:r>
    </w:p>
    <w:p w:rsidR="009F037E" w:rsidRDefault="00C6602C">
      <w:pPr>
        <w:pStyle w:val="BodyText"/>
      </w:pPr>
      <w:r>
        <w:rPr>
          <w:rFonts w:hint="eastAsia"/>
        </w:rPr>
        <w:t>决赛时间：2024年12月</w:t>
      </w:r>
    </w:p>
    <w:p w:rsidR="009F037E" w:rsidRDefault="00C6602C">
      <w:pPr>
        <w:pStyle w:val="BodyText"/>
        <w:rPr>
          <w:b/>
          <w:bCs/>
        </w:rPr>
      </w:pPr>
      <w:r>
        <w:rPr>
          <w:rFonts w:hint="eastAsia"/>
        </w:rPr>
        <w:t>详情见</w:t>
      </w:r>
      <w:proofErr w:type="gramStart"/>
      <w:r>
        <w:rPr>
          <w:rFonts w:hint="eastAsia"/>
        </w:rPr>
        <w:t>赛事官网</w:t>
      </w:r>
      <w:proofErr w:type="gramEnd"/>
      <w:r w:rsidR="00476206">
        <w:fldChar w:fldCharType="begin"/>
      </w:r>
      <w:r w:rsidR="00476206">
        <w:instrText xml:space="preserve"> HYPERLINK "http://aigc.ccmapp.cn/" </w:instrText>
      </w:r>
      <w:r w:rsidR="00476206">
        <w:fldChar w:fldCharType="separate"/>
      </w:r>
      <w:r>
        <w:rPr>
          <w:rStyle w:val="Hyperlink"/>
          <w:rFonts w:hint="eastAsia"/>
        </w:rPr>
        <w:t>http://aigc.ccmapp.cn/</w:t>
      </w:r>
      <w:r w:rsidR="00476206">
        <w:rPr>
          <w:rStyle w:val="Hyperlink"/>
        </w:rPr>
        <w:fldChar w:fldCharType="end"/>
      </w:r>
    </w:p>
    <w:p w:rsidR="009F037E" w:rsidRDefault="00C6602C">
      <w:pPr>
        <w:numPr>
          <w:ilvl w:val="0"/>
          <w:numId w:val="3"/>
        </w:numPr>
      </w:pPr>
      <w:r>
        <w:rPr>
          <w:rFonts w:hint="eastAsia"/>
        </w:rPr>
        <w:t>决赛方向</w:t>
      </w:r>
    </w:p>
    <w:p w:rsidR="009F037E" w:rsidRDefault="00C6602C">
      <w:r>
        <w:rPr>
          <w:rFonts w:hint="eastAsia"/>
        </w:rPr>
        <w:t>分为</w:t>
      </w:r>
      <w:proofErr w:type="gramStart"/>
      <w:r>
        <w:rPr>
          <w:rFonts w:hint="eastAsia"/>
        </w:rPr>
        <w:t>晋级组</w:t>
      </w:r>
      <w:proofErr w:type="gramEnd"/>
      <w:r>
        <w:rPr>
          <w:rFonts w:hint="eastAsia"/>
        </w:rPr>
        <w:t>和表演组</w:t>
      </w:r>
    </w:p>
    <w:p w:rsidR="009F037E" w:rsidRDefault="00C6602C">
      <w:proofErr w:type="gramStart"/>
      <w:r>
        <w:rPr>
          <w:rFonts w:hint="eastAsia"/>
        </w:rPr>
        <w:t>晋级组</w:t>
      </w:r>
      <w:proofErr w:type="gramEnd"/>
      <w:r>
        <w:rPr>
          <w:rFonts w:hint="eastAsia"/>
        </w:rPr>
        <w:t>决赛方向：</w:t>
      </w:r>
    </w:p>
    <w:p w:rsidR="009F037E" w:rsidRDefault="00C6602C">
      <w:bookmarkStart w:id="3" w:name="_Hlk171059440"/>
      <w:r>
        <w:rPr>
          <w:rFonts w:hint="eastAsia"/>
        </w:rPr>
        <w:lastRenderedPageBreak/>
        <w:t>1）智慧文旅</w:t>
      </w:r>
    </w:p>
    <w:p w:rsidR="009F037E" w:rsidRDefault="00C6602C">
      <w:r>
        <w:rPr>
          <w:rFonts w:hint="eastAsia"/>
        </w:rPr>
        <w:t>2）文化大数据及文旅大模型应用</w:t>
      </w:r>
    </w:p>
    <w:p w:rsidR="009F037E" w:rsidRDefault="00C6602C">
      <w:r>
        <w:rPr>
          <w:rFonts w:hint="eastAsia"/>
        </w:rPr>
        <w:t>3）生成式AI的文旅应用（平台或软件类）</w:t>
      </w:r>
    </w:p>
    <w:p w:rsidR="009F037E" w:rsidRDefault="00C6602C">
      <w:r>
        <w:rPr>
          <w:rFonts w:hint="eastAsia"/>
        </w:rPr>
        <w:t>4）沉浸式人工智能文旅</w:t>
      </w:r>
    </w:p>
    <w:p w:rsidR="009F037E" w:rsidRDefault="00C6602C">
      <w:r>
        <w:rPr>
          <w:rFonts w:hint="eastAsia"/>
        </w:rPr>
        <w:t xml:space="preserve">5）人工智能与数字藏品 </w:t>
      </w:r>
    </w:p>
    <w:p w:rsidR="009F037E" w:rsidRDefault="00C6602C">
      <w:r>
        <w:rPr>
          <w:rFonts w:hint="eastAsia"/>
        </w:rPr>
        <w:t>6）数字内容及数字出版</w:t>
      </w:r>
    </w:p>
    <w:p w:rsidR="009F037E" w:rsidRDefault="00C6602C">
      <w:r>
        <w:rPr>
          <w:rFonts w:hint="eastAsia"/>
        </w:rPr>
        <w:t>7）IP数字化及数字创意（含营销智能体）</w:t>
      </w:r>
      <w:bookmarkEnd w:id="3"/>
    </w:p>
    <w:p w:rsidR="009F037E" w:rsidRDefault="00C6602C">
      <w:r>
        <w:rPr>
          <w:rFonts w:hint="eastAsia"/>
        </w:rPr>
        <w:t>8）智慧文娱及演出</w:t>
      </w:r>
    </w:p>
    <w:p w:rsidR="009F037E" w:rsidRDefault="00C6602C">
      <w:r>
        <w:rPr>
          <w:rFonts w:hint="eastAsia"/>
        </w:rPr>
        <w:t>9）智慧文博及数字博物馆</w:t>
      </w:r>
    </w:p>
    <w:p w:rsidR="009F037E" w:rsidRDefault="00C6602C">
      <w:r>
        <w:rPr>
          <w:rFonts w:hint="eastAsia"/>
        </w:rPr>
        <w:t>10）电影特效及人工智能动漫</w:t>
      </w:r>
    </w:p>
    <w:p w:rsidR="009F037E" w:rsidRDefault="00C6602C">
      <w:r>
        <w:rPr>
          <w:rFonts w:hint="eastAsia"/>
        </w:rPr>
        <w:t>表演组（为主办方定向邀请）决赛方向：</w:t>
      </w:r>
    </w:p>
    <w:p w:rsidR="009F037E" w:rsidRDefault="00C6602C">
      <w:r>
        <w:rPr>
          <w:rFonts w:hint="eastAsia"/>
        </w:rPr>
        <w:t>1）文旅建模及渲染大赛</w:t>
      </w:r>
    </w:p>
    <w:p w:rsidR="009F037E" w:rsidRDefault="00C6602C">
      <w:r>
        <w:rPr>
          <w:rFonts w:hint="eastAsia"/>
        </w:rPr>
        <w:t>2）文旅人工智能开源36小时不间断开发挑战赛</w:t>
      </w:r>
    </w:p>
    <w:p w:rsidR="009F037E" w:rsidRDefault="00C6602C">
      <w:r>
        <w:rPr>
          <w:rFonts w:hint="eastAsia"/>
        </w:rPr>
        <w:t>3）AIGC数字艺术命题现场表演赛</w:t>
      </w:r>
    </w:p>
    <w:p w:rsidR="009F037E" w:rsidRDefault="00C6602C">
      <w:r>
        <w:rPr>
          <w:rFonts w:hint="eastAsia"/>
        </w:rPr>
        <w:t>4）数字藏品及</w:t>
      </w:r>
      <w:r>
        <w:t>NFT创作交易竞赛</w:t>
      </w:r>
    </w:p>
    <w:p w:rsidR="009F037E" w:rsidRDefault="00C6602C">
      <w:r>
        <w:rPr>
          <w:rFonts w:hint="eastAsia"/>
        </w:rPr>
        <w:t>5）中国移动双创平台双赢竞赛</w:t>
      </w:r>
    </w:p>
    <w:p w:rsidR="009F037E" w:rsidRDefault="00C6602C">
      <w:r>
        <w:rPr>
          <w:rFonts w:hint="eastAsia"/>
        </w:rPr>
        <w:t>（3）评审标准</w:t>
      </w:r>
    </w:p>
    <w:tbl>
      <w:tblPr>
        <w:tblStyle w:val="TableGrid"/>
        <w:tblW w:w="8926" w:type="dxa"/>
        <w:tblInd w:w="-314" w:type="dxa"/>
        <w:tblLayout w:type="fixed"/>
        <w:tblLook w:val="04A0" w:firstRow="1" w:lastRow="0" w:firstColumn="1" w:lastColumn="0" w:noHBand="0" w:noVBand="1"/>
      </w:tblPr>
      <w:tblGrid>
        <w:gridCol w:w="1271"/>
        <w:gridCol w:w="992"/>
        <w:gridCol w:w="6663"/>
      </w:tblGrid>
      <w:tr w:rsidR="009F037E">
        <w:trPr>
          <w:trHeight w:val="680"/>
        </w:trPr>
        <w:tc>
          <w:tcPr>
            <w:tcW w:w="1271" w:type="dxa"/>
            <w:shd w:val="clear" w:color="auto" w:fill="D4F4F1" w:themeFill="accent5" w:themeFillTint="32"/>
            <w:noWrap/>
          </w:tcPr>
          <w:p w:rsidR="009F037E" w:rsidRDefault="00C6602C">
            <w:pPr>
              <w:ind w:firstLineChars="0" w:firstLine="0"/>
              <w:jc w:val="center"/>
              <w:rPr>
                <w:b/>
                <w:bCs/>
                <w:snapToGrid w:val="0"/>
                <w:sz w:val="28"/>
                <w:szCs w:val="28"/>
              </w:rPr>
            </w:pPr>
            <w:r>
              <w:rPr>
                <w:rFonts w:hint="eastAsia"/>
                <w:b/>
                <w:bCs/>
                <w:snapToGrid w:val="0"/>
                <w:sz w:val="28"/>
                <w:szCs w:val="28"/>
              </w:rPr>
              <w:t>评分项</w:t>
            </w:r>
          </w:p>
        </w:tc>
        <w:tc>
          <w:tcPr>
            <w:tcW w:w="992" w:type="dxa"/>
            <w:shd w:val="clear" w:color="auto" w:fill="D4F4F1" w:themeFill="accent5" w:themeFillTint="32"/>
            <w:noWrap/>
          </w:tcPr>
          <w:p w:rsidR="009F037E" w:rsidRDefault="00C6602C">
            <w:pPr>
              <w:ind w:firstLineChars="0" w:firstLine="0"/>
              <w:jc w:val="center"/>
              <w:rPr>
                <w:b/>
                <w:bCs/>
                <w:snapToGrid w:val="0"/>
                <w:sz w:val="28"/>
                <w:szCs w:val="28"/>
              </w:rPr>
            </w:pPr>
            <w:r>
              <w:rPr>
                <w:rFonts w:hint="eastAsia"/>
                <w:b/>
                <w:bCs/>
                <w:snapToGrid w:val="0"/>
                <w:sz w:val="28"/>
                <w:szCs w:val="28"/>
              </w:rPr>
              <w:t>分值</w:t>
            </w:r>
          </w:p>
        </w:tc>
        <w:tc>
          <w:tcPr>
            <w:tcW w:w="6663" w:type="dxa"/>
            <w:shd w:val="clear" w:color="auto" w:fill="D4F4F1" w:themeFill="accent5" w:themeFillTint="32"/>
            <w:noWrap/>
          </w:tcPr>
          <w:p w:rsidR="009F037E" w:rsidRDefault="00C6602C">
            <w:pPr>
              <w:ind w:firstLineChars="100" w:firstLine="281"/>
              <w:jc w:val="center"/>
              <w:rPr>
                <w:b/>
                <w:bCs/>
                <w:snapToGrid w:val="0"/>
                <w:sz w:val="28"/>
                <w:szCs w:val="28"/>
              </w:rPr>
            </w:pPr>
            <w:r>
              <w:rPr>
                <w:rFonts w:hint="eastAsia"/>
                <w:b/>
                <w:bCs/>
                <w:snapToGrid w:val="0"/>
                <w:sz w:val="28"/>
                <w:szCs w:val="28"/>
              </w:rPr>
              <w:t>评分要点</w:t>
            </w:r>
          </w:p>
        </w:tc>
      </w:tr>
      <w:tr w:rsidR="009F037E">
        <w:trPr>
          <w:trHeight w:val="680"/>
        </w:trPr>
        <w:tc>
          <w:tcPr>
            <w:tcW w:w="1271" w:type="dxa"/>
            <w:noWrap/>
          </w:tcPr>
          <w:p w:rsidR="009F037E" w:rsidRDefault="00C6602C">
            <w:pPr>
              <w:pStyle w:val="BodyTextFirstIndent"/>
              <w:spacing w:line="560" w:lineRule="exact"/>
              <w:jc w:val="center"/>
              <w:rPr>
                <w:rFonts w:ascii="仿宋" w:eastAsia="仿宋"/>
              </w:rPr>
            </w:pPr>
            <w:r>
              <w:rPr>
                <w:rFonts w:ascii="仿宋" w:eastAsia="仿宋" w:hint="eastAsia"/>
              </w:rPr>
              <w:t>创新</w:t>
            </w:r>
          </w:p>
        </w:tc>
        <w:tc>
          <w:tcPr>
            <w:tcW w:w="992" w:type="dxa"/>
            <w:noWrap/>
          </w:tcPr>
          <w:p w:rsidR="009F037E" w:rsidRDefault="00C6602C">
            <w:pPr>
              <w:pStyle w:val="BodyTextFirstIndent"/>
              <w:spacing w:line="560" w:lineRule="exact"/>
              <w:jc w:val="center"/>
              <w:rPr>
                <w:rFonts w:ascii="仿宋" w:eastAsia="仿宋"/>
              </w:rPr>
            </w:pPr>
            <w:r>
              <w:rPr>
                <w:rFonts w:ascii="仿宋" w:eastAsia="仿宋"/>
              </w:rPr>
              <w:t>40</w:t>
            </w:r>
          </w:p>
        </w:tc>
        <w:tc>
          <w:tcPr>
            <w:tcW w:w="6663" w:type="dxa"/>
            <w:noWrap/>
          </w:tcPr>
          <w:p w:rsidR="009F037E" w:rsidRDefault="00C6602C">
            <w:pPr>
              <w:pStyle w:val="BodyTextFirstIndent"/>
              <w:spacing w:line="560" w:lineRule="exact"/>
              <w:jc w:val="center"/>
              <w:rPr>
                <w:rFonts w:ascii="仿宋" w:eastAsia="仿宋"/>
              </w:rPr>
            </w:pPr>
            <w:r>
              <w:rPr>
                <w:rFonts w:ascii="仿宋" w:eastAsia="仿宋" w:hint="eastAsia"/>
              </w:rPr>
              <w:t>创新、独特、原创</w:t>
            </w:r>
          </w:p>
        </w:tc>
      </w:tr>
      <w:tr w:rsidR="009F037E">
        <w:trPr>
          <w:trHeight w:val="680"/>
        </w:trPr>
        <w:tc>
          <w:tcPr>
            <w:tcW w:w="1271" w:type="dxa"/>
            <w:noWrap/>
          </w:tcPr>
          <w:p w:rsidR="009F037E" w:rsidRDefault="00C6602C">
            <w:pPr>
              <w:pStyle w:val="BodyTextFirstIndent"/>
              <w:spacing w:line="560" w:lineRule="exact"/>
              <w:jc w:val="center"/>
              <w:rPr>
                <w:rFonts w:ascii="仿宋" w:eastAsia="仿宋"/>
              </w:rPr>
            </w:pPr>
            <w:r>
              <w:rPr>
                <w:rFonts w:ascii="仿宋" w:eastAsia="仿宋" w:hint="eastAsia"/>
              </w:rPr>
              <w:t>技术</w:t>
            </w:r>
          </w:p>
        </w:tc>
        <w:tc>
          <w:tcPr>
            <w:tcW w:w="992" w:type="dxa"/>
            <w:noWrap/>
          </w:tcPr>
          <w:p w:rsidR="009F037E" w:rsidRDefault="00C6602C">
            <w:pPr>
              <w:pStyle w:val="BodyTextFirstIndent"/>
              <w:spacing w:line="560" w:lineRule="exact"/>
              <w:jc w:val="center"/>
              <w:rPr>
                <w:rFonts w:ascii="仿宋" w:eastAsia="仿宋"/>
              </w:rPr>
            </w:pPr>
            <w:r>
              <w:rPr>
                <w:rFonts w:ascii="仿宋" w:eastAsia="仿宋"/>
              </w:rPr>
              <w:t>25</w:t>
            </w:r>
          </w:p>
        </w:tc>
        <w:tc>
          <w:tcPr>
            <w:tcW w:w="6663" w:type="dxa"/>
            <w:noWrap/>
          </w:tcPr>
          <w:p w:rsidR="009F037E" w:rsidRDefault="00C6602C">
            <w:pPr>
              <w:pStyle w:val="BodyTextFirstIndent"/>
              <w:spacing w:line="560" w:lineRule="exact"/>
              <w:jc w:val="center"/>
              <w:rPr>
                <w:rFonts w:ascii="仿宋" w:eastAsia="仿宋"/>
              </w:rPr>
            </w:pPr>
            <w:r>
              <w:rPr>
                <w:rFonts w:ascii="仿宋" w:eastAsia="仿宋" w:hint="eastAsia"/>
              </w:rPr>
              <w:t>算法复杂度、先进性、稳定性和可维护性</w:t>
            </w:r>
          </w:p>
        </w:tc>
      </w:tr>
      <w:tr w:rsidR="009F037E">
        <w:trPr>
          <w:trHeight w:val="680"/>
        </w:trPr>
        <w:tc>
          <w:tcPr>
            <w:tcW w:w="1271" w:type="dxa"/>
            <w:noWrap/>
          </w:tcPr>
          <w:p w:rsidR="009F037E" w:rsidRDefault="00C6602C">
            <w:pPr>
              <w:pStyle w:val="BodyTextFirstIndent"/>
              <w:spacing w:line="560" w:lineRule="exact"/>
              <w:jc w:val="center"/>
              <w:rPr>
                <w:rFonts w:ascii="仿宋" w:eastAsia="仿宋"/>
              </w:rPr>
            </w:pPr>
            <w:r>
              <w:rPr>
                <w:rFonts w:ascii="仿宋" w:eastAsia="仿宋" w:hint="eastAsia"/>
              </w:rPr>
              <w:t>体验</w:t>
            </w:r>
          </w:p>
        </w:tc>
        <w:tc>
          <w:tcPr>
            <w:tcW w:w="992" w:type="dxa"/>
            <w:noWrap/>
          </w:tcPr>
          <w:p w:rsidR="009F037E" w:rsidRDefault="00C6602C">
            <w:pPr>
              <w:pStyle w:val="BodyTextFirstIndent"/>
              <w:spacing w:line="560" w:lineRule="exact"/>
              <w:jc w:val="center"/>
              <w:rPr>
                <w:rFonts w:ascii="仿宋" w:eastAsia="仿宋"/>
              </w:rPr>
            </w:pPr>
            <w:r>
              <w:rPr>
                <w:rFonts w:ascii="仿宋" w:eastAsia="仿宋"/>
              </w:rPr>
              <w:t>20</w:t>
            </w:r>
          </w:p>
        </w:tc>
        <w:tc>
          <w:tcPr>
            <w:tcW w:w="6663" w:type="dxa"/>
            <w:noWrap/>
          </w:tcPr>
          <w:p w:rsidR="009F037E" w:rsidRDefault="00C6602C">
            <w:pPr>
              <w:pStyle w:val="BodyTextFirstIndent"/>
              <w:spacing w:line="560" w:lineRule="exact"/>
              <w:jc w:val="center"/>
              <w:rPr>
                <w:rFonts w:ascii="仿宋" w:eastAsia="仿宋"/>
              </w:rPr>
            </w:pPr>
            <w:r>
              <w:rPr>
                <w:rFonts w:ascii="仿宋" w:eastAsia="仿宋" w:hint="eastAsia"/>
              </w:rPr>
              <w:t>易用性、互动性、用户满意度及难度</w:t>
            </w:r>
          </w:p>
        </w:tc>
      </w:tr>
      <w:tr w:rsidR="009F037E">
        <w:trPr>
          <w:trHeight w:val="680"/>
        </w:trPr>
        <w:tc>
          <w:tcPr>
            <w:tcW w:w="1271" w:type="dxa"/>
            <w:noWrap/>
          </w:tcPr>
          <w:p w:rsidR="009F037E" w:rsidRDefault="00C6602C">
            <w:pPr>
              <w:pStyle w:val="BodyTextFirstIndent"/>
              <w:spacing w:line="560" w:lineRule="exact"/>
              <w:jc w:val="center"/>
              <w:rPr>
                <w:rFonts w:ascii="仿宋" w:eastAsia="仿宋"/>
              </w:rPr>
            </w:pPr>
            <w:r>
              <w:rPr>
                <w:rFonts w:ascii="仿宋" w:eastAsia="仿宋" w:hint="eastAsia"/>
              </w:rPr>
              <w:t>市场</w:t>
            </w:r>
          </w:p>
        </w:tc>
        <w:tc>
          <w:tcPr>
            <w:tcW w:w="992" w:type="dxa"/>
            <w:noWrap/>
          </w:tcPr>
          <w:p w:rsidR="009F037E" w:rsidRDefault="00C6602C">
            <w:pPr>
              <w:pStyle w:val="BodyTextFirstIndent"/>
              <w:spacing w:line="560" w:lineRule="exact"/>
              <w:jc w:val="center"/>
              <w:rPr>
                <w:rFonts w:ascii="仿宋" w:eastAsia="仿宋"/>
              </w:rPr>
            </w:pPr>
            <w:r>
              <w:rPr>
                <w:rFonts w:ascii="仿宋" w:eastAsia="仿宋"/>
              </w:rPr>
              <w:t>15</w:t>
            </w:r>
          </w:p>
        </w:tc>
        <w:tc>
          <w:tcPr>
            <w:tcW w:w="6663" w:type="dxa"/>
            <w:noWrap/>
          </w:tcPr>
          <w:p w:rsidR="009F037E" w:rsidRDefault="00C6602C">
            <w:pPr>
              <w:pStyle w:val="BodyTextFirstIndent"/>
              <w:spacing w:line="560" w:lineRule="exact"/>
              <w:jc w:val="center"/>
              <w:rPr>
                <w:rFonts w:ascii="仿宋" w:eastAsia="仿宋"/>
              </w:rPr>
            </w:pPr>
            <w:r>
              <w:rPr>
                <w:rFonts w:ascii="仿宋" w:eastAsia="仿宋" w:hint="eastAsia"/>
              </w:rPr>
              <w:t>应用范围、商业价值、市场接受度、增长空间</w:t>
            </w:r>
          </w:p>
        </w:tc>
      </w:tr>
    </w:tbl>
    <w:p w:rsidR="009F037E" w:rsidRDefault="00C6602C" w:rsidP="004670E1">
      <w:pPr>
        <w:numPr>
          <w:ilvl w:val="255"/>
          <w:numId w:val="0"/>
        </w:numPr>
        <w:ind w:firstLineChars="200" w:firstLine="640"/>
      </w:pPr>
      <w:r>
        <w:rPr>
          <w:rFonts w:hint="eastAsia"/>
        </w:rPr>
        <w:t>（4）奖项设置</w:t>
      </w:r>
    </w:p>
    <w:p w:rsidR="009F037E" w:rsidRDefault="00C6602C">
      <w:r>
        <w:rPr>
          <w:rFonts w:hint="eastAsia"/>
        </w:rPr>
        <w:lastRenderedPageBreak/>
        <w:t>1）晋级组、表演组每个决赛方向，分别设一等奖一名、二等奖两名、三等奖三名，获奖者将获得由赛事主办单位颁发的获奖证书。</w:t>
      </w:r>
    </w:p>
    <w:p w:rsidR="009F037E" w:rsidRDefault="00C6602C">
      <w:pPr>
        <w:pStyle w:val="BodyText"/>
      </w:pPr>
      <w:r>
        <w:rPr>
          <w:rFonts w:hint="eastAsia"/>
        </w:rPr>
        <w:t>2）决赛获得一二三等奖所对应的初赛地区，将获得由赛事主办单位颁发的优秀组织奖，不重复发放。</w:t>
      </w:r>
    </w:p>
    <w:p w:rsidR="009F037E" w:rsidRDefault="00C6602C">
      <w:pPr>
        <w:ind w:firstLine="643"/>
      </w:pPr>
      <w:r>
        <w:rPr>
          <w:rFonts w:hint="eastAsia"/>
          <w:b/>
          <w:bCs/>
        </w:rPr>
        <w:t>第六条 赛事声明</w:t>
      </w:r>
    </w:p>
    <w:p w:rsidR="009F037E" w:rsidRDefault="00C6602C">
      <w:pPr>
        <w:pStyle w:val="BodyText"/>
      </w:pPr>
      <w:r>
        <w:rPr>
          <w:rFonts w:hint="eastAsia"/>
        </w:rPr>
        <w:t>（一）本次竞赛过程中，参赛者承诺其成员将与报名信息保持一致，不得更改；</w:t>
      </w:r>
    </w:p>
    <w:p w:rsidR="009F037E" w:rsidRDefault="00C6602C">
      <w:pPr>
        <w:pStyle w:val="BodyText"/>
      </w:pPr>
      <w:r>
        <w:rPr>
          <w:rFonts w:hint="eastAsia"/>
        </w:rPr>
        <w:t>（二）参赛选手保证其作品为其原创作品，且内容符合中华人民共和国的有关法律。该参赛作品将不会侵犯任何第三方之知识产权、所有权、使用权和处分权，如不拥有该作品的所有权、使用权等处分权利的或该作品是剽窃、抄袭他人作品而获得的，由此所引起的一切后果及法律责任由参赛选手自己承担，本次大赛的主办和承办方均不承担任何法律责任；</w:t>
      </w:r>
    </w:p>
    <w:p w:rsidR="009F037E" w:rsidRDefault="00C6602C">
      <w:pPr>
        <w:pStyle w:val="BodyText"/>
      </w:pPr>
      <w:r>
        <w:rPr>
          <w:rFonts w:hint="eastAsia"/>
        </w:rPr>
        <w:t>（三）如参赛作品使用了已有专利或已提出专利申请的发明、实用新型或外观设计，参赛者须明确告知，否则主办方有权取消其所获取的奖项；</w:t>
      </w:r>
    </w:p>
    <w:p w:rsidR="009F037E" w:rsidRDefault="00C6602C">
      <w:pPr>
        <w:pStyle w:val="BodyText"/>
      </w:pPr>
      <w:r>
        <w:rPr>
          <w:rFonts w:hint="eastAsia"/>
        </w:rPr>
        <w:t>（四）参赛选手应明确告知其参赛作品是否参加过其他竞赛，以及在其他竞赛中的获奖情况，否则主办方有权取消其所获取的奖项；</w:t>
      </w:r>
    </w:p>
    <w:p w:rsidR="009F037E" w:rsidRDefault="00C6602C">
      <w:pPr>
        <w:pStyle w:val="BodyText"/>
      </w:pPr>
      <w:r>
        <w:rPr>
          <w:rFonts w:hint="eastAsia"/>
        </w:rPr>
        <w:t>（五）大赛主办方有权在法律允许范围内，对参赛者提供的信息进行调查核实，也可要求其在限期内提供补充信息，参赛者对此将予以配合；</w:t>
      </w:r>
    </w:p>
    <w:p w:rsidR="009F037E" w:rsidRDefault="00C6602C">
      <w:pPr>
        <w:pStyle w:val="BodyText"/>
      </w:pPr>
      <w:r>
        <w:rPr>
          <w:rFonts w:hint="eastAsia"/>
        </w:rPr>
        <w:lastRenderedPageBreak/>
        <w:t>（六）参赛作品的知识产权属于参赛者，但参赛者同意授权主办方可以在本次竞赛期间及之后任何时间，免费使用参赛作品的项目简介在包括但不限于网站、平面杂志等媒体进行公开宣传的权利；</w:t>
      </w:r>
    </w:p>
    <w:p w:rsidR="009F037E" w:rsidRDefault="00C6602C">
      <w:pPr>
        <w:pStyle w:val="BodyText"/>
      </w:pPr>
      <w:r>
        <w:rPr>
          <w:rFonts w:hint="eastAsia"/>
        </w:rPr>
        <w:t>（七）以下情况参赛作品的知识产权属于组委会，参赛者同意并授权主办方可以在本次竞赛期间及之后任何时间，免费使用参赛作品的项目简介在包括但不限于网站、平面杂志等媒体进行公开宣传的权利：</w:t>
      </w:r>
    </w:p>
    <w:p w:rsidR="009F037E" w:rsidRDefault="00C6602C">
      <w:pPr>
        <w:pStyle w:val="BodyText"/>
      </w:pPr>
      <w:r>
        <w:rPr>
          <w:rFonts w:hint="eastAsia"/>
        </w:rPr>
        <w:t>赛事期间，应组委会要求定向开发的作品。</w:t>
      </w:r>
    </w:p>
    <w:p w:rsidR="009F037E" w:rsidRDefault="00C6602C">
      <w:pPr>
        <w:pStyle w:val="BodyText"/>
      </w:pPr>
      <w:r>
        <w:rPr>
          <w:rFonts w:hint="eastAsia"/>
        </w:rPr>
        <w:t>赛事期间，应组委会邀请的命题作品。</w:t>
      </w:r>
    </w:p>
    <w:p w:rsidR="009F037E" w:rsidRDefault="00C6602C">
      <w:pPr>
        <w:pStyle w:val="BodyText"/>
      </w:pPr>
      <w:r>
        <w:rPr>
          <w:rFonts w:hint="eastAsia"/>
        </w:rPr>
        <w:t>（八）高校参赛者同意授权主办方将参赛作品推荐给其他全国大型赛事参加二次评审的权利；</w:t>
      </w:r>
    </w:p>
    <w:p w:rsidR="009F037E" w:rsidRDefault="00C6602C">
      <w:pPr>
        <w:pStyle w:val="BodyText"/>
      </w:pPr>
      <w:r>
        <w:rPr>
          <w:rFonts w:hint="eastAsia"/>
        </w:rPr>
        <w:t>（九）参赛者一经提交作品即代表完全接受大赛活动所有条款。</w:t>
      </w:r>
    </w:p>
    <w:p w:rsidR="009F037E" w:rsidRDefault="009F037E">
      <w:pPr>
        <w:pStyle w:val="Heading1"/>
        <w:ind w:firstLine="640"/>
      </w:pPr>
    </w:p>
    <w:p w:rsidR="009F037E" w:rsidRDefault="009F037E">
      <w:pPr>
        <w:ind w:firstLineChars="0" w:firstLine="0"/>
      </w:pPr>
    </w:p>
    <w:p w:rsidR="009F037E" w:rsidRDefault="00C6602C">
      <w:pPr>
        <w:jc w:val="right"/>
      </w:pPr>
      <w:r>
        <w:rPr>
          <w:rFonts w:hint="eastAsia"/>
        </w:rPr>
        <w:t>人工智能未来设计大赛·</w:t>
      </w:r>
      <w:proofErr w:type="gramStart"/>
      <w:r>
        <w:rPr>
          <w:rFonts w:hint="eastAsia"/>
        </w:rPr>
        <w:t>文旅应用</w:t>
      </w:r>
      <w:proofErr w:type="gramEnd"/>
      <w:r>
        <w:rPr>
          <w:rFonts w:hint="eastAsia"/>
        </w:rPr>
        <w:t>赛组委会                               2024年9月</w:t>
      </w:r>
      <w:r w:rsidR="002D7358">
        <w:rPr>
          <w:rFonts w:hint="eastAsia"/>
        </w:rPr>
        <w:t>1</w:t>
      </w:r>
      <w:r w:rsidR="002D7358">
        <w:t>3</w:t>
      </w:r>
      <w:r>
        <w:t>日</w:t>
      </w:r>
    </w:p>
    <w:sectPr w:rsidR="009F037E">
      <w:headerReference w:type="even" r:id="rId10"/>
      <w:headerReference w:type="default" r:id="rId11"/>
      <w:footerReference w:type="even" r:id="rId12"/>
      <w:footerReference w:type="default" r:id="rId13"/>
      <w:headerReference w:type="first" r:id="rId14"/>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47" w:rsidRDefault="00F16547">
      <w:pPr>
        <w:spacing w:line="240" w:lineRule="auto"/>
      </w:pPr>
      <w:r>
        <w:separator/>
      </w:r>
    </w:p>
  </w:endnote>
  <w:endnote w:type="continuationSeparator" w:id="0">
    <w:p w:rsidR="00F16547" w:rsidRDefault="00F16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7E" w:rsidRDefault="009F037E">
    <w:pPr>
      <w:pStyle w:val="Footer"/>
    </w:pPr>
  </w:p>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7E" w:rsidRDefault="00C6602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037E" w:rsidRDefault="00C6602C">
                          <w:pPr>
                            <w:pStyle w:val="Footer"/>
                          </w:pPr>
                          <w:r>
                            <w:fldChar w:fldCharType="begin"/>
                          </w:r>
                          <w:r>
                            <w:instrText xml:space="preserve"> PAGE  \* MERGEFORMAT </w:instrText>
                          </w:r>
                          <w:r>
                            <w:fldChar w:fldCharType="separate"/>
                          </w:r>
                          <w:r w:rsidR="002D7358">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F037E" w:rsidRDefault="00C6602C">
                    <w:pPr>
                      <w:pStyle w:val="Footer"/>
                    </w:pPr>
                    <w:r>
                      <w:fldChar w:fldCharType="begin"/>
                    </w:r>
                    <w:r>
                      <w:instrText xml:space="preserve"> PAGE  \* MERGEFORMAT </w:instrText>
                    </w:r>
                    <w:r>
                      <w:fldChar w:fldCharType="separate"/>
                    </w:r>
                    <w:r w:rsidR="002D7358">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47" w:rsidRDefault="00F16547">
      <w:pPr>
        <w:spacing w:line="240" w:lineRule="auto"/>
      </w:pPr>
      <w:r>
        <w:separator/>
      </w:r>
    </w:p>
  </w:footnote>
  <w:footnote w:type="continuationSeparator" w:id="0">
    <w:p w:rsidR="00F16547" w:rsidRDefault="00F165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7E" w:rsidRDefault="009F037E">
    <w:pPr>
      <w:pStyle w:val="Header"/>
      <w:ind w:firstLine="360"/>
    </w:pPr>
  </w:p>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p w:rsidR="009F037E" w:rsidRDefault="009F03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7E" w:rsidRDefault="009F037E">
    <w:pPr>
      <w:pStyle w:val="Heade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7E" w:rsidRDefault="009F037E">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AEB2FE"/>
    <w:multiLevelType w:val="singleLevel"/>
    <w:tmpl w:val="C1AEB2FE"/>
    <w:lvl w:ilvl="0">
      <w:start w:val="2"/>
      <w:numFmt w:val="decimal"/>
      <w:suff w:val="nothing"/>
      <w:lvlText w:val="（%1）"/>
      <w:lvlJc w:val="left"/>
    </w:lvl>
  </w:abstractNum>
  <w:abstractNum w:abstractNumId="1" w15:restartNumberingAfterBreak="0">
    <w:nsid w:val="6BEAAE4D"/>
    <w:multiLevelType w:val="singleLevel"/>
    <w:tmpl w:val="6BEAAE4D"/>
    <w:lvl w:ilvl="0">
      <w:start w:val="2"/>
      <w:numFmt w:val="chineseCounting"/>
      <w:suff w:val="nothing"/>
      <w:lvlText w:val="（%1）"/>
      <w:lvlJc w:val="left"/>
      <w:rPr>
        <w:rFonts w:hint="eastAsia"/>
      </w:rPr>
    </w:lvl>
  </w:abstractNum>
  <w:abstractNum w:abstractNumId="2" w15:restartNumberingAfterBreak="0">
    <w:nsid w:val="76B429AC"/>
    <w:multiLevelType w:val="multilevel"/>
    <w:tmpl w:val="76B429AC"/>
    <w:lvl w:ilvl="0">
      <w:start w:val="1"/>
      <w:numFmt w:val="bullet"/>
      <w:pStyle w:val="ListParagraph"/>
      <w:lvlText w:val=""/>
      <w:lvlJc w:val="left"/>
      <w:pPr>
        <w:ind w:left="1080" w:hanging="440"/>
      </w:pPr>
      <w:rPr>
        <w:rFonts w:ascii="Wingdings" w:hAnsi="Wingdings" w:hint="default"/>
      </w:rPr>
    </w:lvl>
    <w:lvl w:ilvl="1">
      <w:start w:val="1"/>
      <w:numFmt w:val="bullet"/>
      <w:lvlText w:val=""/>
      <w:lvlJc w:val="left"/>
      <w:pPr>
        <w:ind w:left="1520" w:hanging="440"/>
      </w:pPr>
      <w:rPr>
        <w:rFonts w:ascii="Wingdings" w:hAnsi="Wingdings" w:hint="default"/>
      </w:rPr>
    </w:lvl>
    <w:lvl w:ilvl="2">
      <w:start w:val="1"/>
      <w:numFmt w:val="bullet"/>
      <w:lvlText w:val=""/>
      <w:lvlJc w:val="left"/>
      <w:pPr>
        <w:ind w:left="1960" w:hanging="440"/>
      </w:pPr>
      <w:rPr>
        <w:rFonts w:ascii="Wingdings" w:hAnsi="Wingdings" w:hint="default"/>
      </w:rPr>
    </w:lvl>
    <w:lvl w:ilvl="3">
      <w:start w:val="1"/>
      <w:numFmt w:val="bullet"/>
      <w:lvlText w:val=""/>
      <w:lvlJc w:val="left"/>
      <w:pPr>
        <w:ind w:left="2400" w:hanging="440"/>
      </w:pPr>
      <w:rPr>
        <w:rFonts w:ascii="Wingdings" w:hAnsi="Wingdings" w:hint="default"/>
      </w:rPr>
    </w:lvl>
    <w:lvl w:ilvl="4">
      <w:start w:val="1"/>
      <w:numFmt w:val="bullet"/>
      <w:lvlText w:val=""/>
      <w:lvlJc w:val="left"/>
      <w:pPr>
        <w:ind w:left="2840" w:hanging="440"/>
      </w:pPr>
      <w:rPr>
        <w:rFonts w:ascii="Wingdings" w:hAnsi="Wingdings" w:hint="default"/>
      </w:rPr>
    </w:lvl>
    <w:lvl w:ilvl="5">
      <w:start w:val="1"/>
      <w:numFmt w:val="bullet"/>
      <w:lvlText w:val=""/>
      <w:lvlJc w:val="left"/>
      <w:pPr>
        <w:ind w:left="3280" w:hanging="440"/>
      </w:pPr>
      <w:rPr>
        <w:rFonts w:ascii="Wingdings" w:hAnsi="Wingdings" w:hint="default"/>
      </w:rPr>
    </w:lvl>
    <w:lvl w:ilvl="6">
      <w:start w:val="1"/>
      <w:numFmt w:val="bullet"/>
      <w:lvlText w:val=""/>
      <w:lvlJc w:val="left"/>
      <w:pPr>
        <w:ind w:left="3720" w:hanging="440"/>
      </w:pPr>
      <w:rPr>
        <w:rFonts w:ascii="Wingdings" w:hAnsi="Wingdings" w:hint="default"/>
      </w:rPr>
    </w:lvl>
    <w:lvl w:ilvl="7">
      <w:start w:val="1"/>
      <w:numFmt w:val="bullet"/>
      <w:lvlText w:val=""/>
      <w:lvlJc w:val="left"/>
      <w:pPr>
        <w:ind w:left="4160" w:hanging="440"/>
      </w:pPr>
      <w:rPr>
        <w:rFonts w:ascii="Wingdings" w:hAnsi="Wingdings" w:hint="default"/>
      </w:rPr>
    </w:lvl>
    <w:lvl w:ilvl="8">
      <w:start w:val="1"/>
      <w:numFmt w:val="bullet"/>
      <w:lvlText w:val=""/>
      <w:lvlJc w:val="left"/>
      <w:pPr>
        <w:ind w:left="4600" w:hanging="44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mJiNmFlYTU0NmU1ZjFhNTQ4YzgyOTUxNjg2YTEifQ=="/>
  </w:docVars>
  <w:rsids>
    <w:rsidRoot w:val="46A00165"/>
    <w:rsid w:val="0000724D"/>
    <w:rsid w:val="0001005B"/>
    <w:rsid w:val="0002362F"/>
    <w:rsid w:val="00035A9E"/>
    <w:rsid w:val="00043FF7"/>
    <w:rsid w:val="00051DE1"/>
    <w:rsid w:val="0006569E"/>
    <w:rsid w:val="000706F8"/>
    <w:rsid w:val="0008492A"/>
    <w:rsid w:val="0009524D"/>
    <w:rsid w:val="00097569"/>
    <w:rsid w:val="000A4EAF"/>
    <w:rsid w:val="000B1AA7"/>
    <w:rsid w:val="000E08FB"/>
    <w:rsid w:val="000F693B"/>
    <w:rsid w:val="0011007B"/>
    <w:rsid w:val="0011423C"/>
    <w:rsid w:val="00130B46"/>
    <w:rsid w:val="00136772"/>
    <w:rsid w:val="00137E46"/>
    <w:rsid w:val="00160684"/>
    <w:rsid w:val="001647E2"/>
    <w:rsid w:val="00170193"/>
    <w:rsid w:val="0017166B"/>
    <w:rsid w:val="0018706C"/>
    <w:rsid w:val="00191B24"/>
    <w:rsid w:val="001D071C"/>
    <w:rsid w:val="001E45C9"/>
    <w:rsid w:val="002031B2"/>
    <w:rsid w:val="002324B7"/>
    <w:rsid w:val="0024453E"/>
    <w:rsid w:val="00250C5B"/>
    <w:rsid w:val="00264707"/>
    <w:rsid w:val="002651EA"/>
    <w:rsid w:val="002835F2"/>
    <w:rsid w:val="0029112A"/>
    <w:rsid w:val="00297AB6"/>
    <w:rsid w:val="002A2342"/>
    <w:rsid w:val="002B4D6C"/>
    <w:rsid w:val="002D7358"/>
    <w:rsid w:val="002E28F2"/>
    <w:rsid w:val="002E2E65"/>
    <w:rsid w:val="002E5D09"/>
    <w:rsid w:val="003119CA"/>
    <w:rsid w:val="00325766"/>
    <w:rsid w:val="00325DF8"/>
    <w:rsid w:val="00327A69"/>
    <w:rsid w:val="00331638"/>
    <w:rsid w:val="00333A2C"/>
    <w:rsid w:val="0036711F"/>
    <w:rsid w:val="003923D6"/>
    <w:rsid w:val="0039456C"/>
    <w:rsid w:val="003955A3"/>
    <w:rsid w:val="003B1C69"/>
    <w:rsid w:val="003C1D41"/>
    <w:rsid w:val="003D61FA"/>
    <w:rsid w:val="003E448A"/>
    <w:rsid w:val="003E50B4"/>
    <w:rsid w:val="0040231A"/>
    <w:rsid w:val="004138AB"/>
    <w:rsid w:val="004203B8"/>
    <w:rsid w:val="004504FA"/>
    <w:rsid w:val="004524E9"/>
    <w:rsid w:val="004614C4"/>
    <w:rsid w:val="004670E1"/>
    <w:rsid w:val="00476206"/>
    <w:rsid w:val="004804E5"/>
    <w:rsid w:val="004972E1"/>
    <w:rsid w:val="004A249A"/>
    <w:rsid w:val="004A5A2C"/>
    <w:rsid w:val="004C3A2E"/>
    <w:rsid w:val="004C4EC4"/>
    <w:rsid w:val="004D3314"/>
    <w:rsid w:val="004E3819"/>
    <w:rsid w:val="004E3D16"/>
    <w:rsid w:val="00502963"/>
    <w:rsid w:val="00512801"/>
    <w:rsid w:val="00515DC4"/>
    <w:rsid w:val="00530820"/>
    <w:rsid w:val="00555766"/>
    <w:rsid w:val="00556BC2"/>
    <w:rsid w:val="00566F40"/>
    <w:rsid w:val="00570FE9"/>
    <w:rsid w:val="00577FCD"/>
    <w:rsid w:val="00581EF6"/>
    <w:rsid w:val="00582B52"/>
    <w:rsid w:val="00596EB9"/>
    <w:rsid w:val="005A2BB5"/>
    <w:rsid w:val="005A76AB"/>
    <w:rsid w:val="005B5C6E"/>
    <w:rsid w:val="005D0DBF"/>
    <w:rsid w:val="005F440F"/>
    <w:rsid w:val="005F5004"/>
    <w:rsid w:val="0060137B"/>
    <w:rsid w:val="00611479"/>
    <w:rsid w:val="00617F89"/>
    <w:rsid w:val="006204F9"/>
    <w:rsid w:val="0063111F"/>
    <w:rsid w:val="00635805"/>
    <w:rsid w:val="00657644"/>
    <w:rsid w:val="00666B00"/>
    <w:rsid w:val="00671196"/>
    <w:rsid w:val="00685E62"/>
    <w:rsid w:val="006B0F9B"/>
    <w:rsid w:val="006B6D5F"/>
    <w:rsid w:val="006C3FE4"/>
    <w:rsid w:val="006C51CE"/>
    <w:rsid w:val="006C69B1"/>
    <w:rsid w:val="006D4E13"/>
    <w:rsid w:val="006D55D4"/>
    <w:rsid w:val="006D6FFB"/>
    <w:rsid w:val="006E2E5F"/>
    <w:rsid w:val="006F3CEB"/>
    <w:rsid w:val="006F7BF7"/>
    <w:rsid w:val="00701948"/>
    <w:rsid w:val="00705199"/>
    <w:rsid w:val="007127C2"/>
    <w:rsid w:val="00713CC1"/>
    <w:rsid w:val="00726D47"/>
    <w:rsid w:val="007279FA"/>
    <w:rsid w:val="00737BC4"/>
    <w:rsid w:val="0074513D"/>
    <w:rsid w:val="0074537B"/>
    <w:rsid w:val="0075185E"/>
    <w:rsid w:val="0075719E"/>
    <w:rsid w:val="00772A4C"/>
    <w:rsid w:val="00773014"/>
    <w:rsid w:val="0077689A"/>
    <w:rsid w:val="0079398D"/>
    <w:rsid w:val="007A1E5B"/>
    <w:rsid w:val="007E1E34"/>
    <w:rsid w:val="007F4B4C"/>
    <w:rsid w:val="00811099"/>
    <w:rsid w:val="008153DF"/>
    <w:rsid w:val="008407FC"/>
    <w:rsid w:val="00866EA4"/>
    <w:rsid w:val="00873CAC"/>
    <w:rsid w:val="0089187C"/>
    <w:rsid w:val="00891DDE"/>
    <w:rsid w:val="00891F32"/>
    <w:rsid w:val="00892E47"/>
    <w:rsid w:val="008948DB"/>
    <w:rsid w:val="00896122"/>
    <w:rsid w:val="008A10C3"/>
    <w:rsid w:val="008C0AE8"/>
    <w:rsid w:val="008C3389"/>
    <w:rsid w:val="008C6BC2"/>
    <w:rsid w:val="008E3F98"/>
    <w:rsid w:val="008F0473"/>
    <w:rsid w:val="008F4300"/>
    <w:rsid w:val="00931CE6"/>
    <w:rsid w:val="009406CC"/>
    <w:rsid w:val="00966C4C"/>
    <w:rsid w:val="00966E03"/>
    <w:rsid w:val="009A0C74"/>
    <w:rsid w:val="009A1DD9"/>
    <w:rsid w:val="009A7C5C"/>
    <w:rsid w:val="009B3394"/>
    <w:rsid w:val="009F037E"/>
    <w:rsid w:val="009F4058"/>
    <w:rsid w:val="009F4DEA"/>
    <w:rsid w:val="00A06F80"/>
    <w:rsid w:val="00A14FED"/>
    <w:rsid w:val="00A2425C"/>
    <w:rsid w:val="00A26E4E"/>
    <w:rsid w:val="00A346B7"/>
    <w:rsid w:val="00A35C97"/>
    <w:rsid w:val="00A3610A"/>
    <w:rsid w:val="00A45CC7"/>
    <w:rsid w:val="00A460D2"/>
    <w:rsid w:val="00A54120"/>
    <w:rsid w:val="00A837C7"/>
    <w:rsid w:val="00A92BCB"/>
    <w:rsid w:val="00AA3013"/>
    <w:rsid w:val="00AA3AE5"/>
    <w:rsid w:val="00AD75AE"/>
    <w:rsid w:val="00B05F87"/>
    <w:rsid w:val="00B24F17"/>
    <w:rsid w:val="00B36D52"/>
    <w:rsid w:val="00B61C28"/>
    <w:rsid w:val="00B64313"/>
    <w:rsid w:val="00B74CD0"/>
    <w:rsid w:val="00B803EE"/>
    <w:rsid w:val="00BA40E8"/>
    <w:rsid w:val="00BC100C"/>
    <w:rsid w:val="00BC4F3D"/>
    <w:rsid w:val="00BE2006"/>
    <w:rsid w:val="00BE6E64"/>
    <w:rsid w:val="00BF1CAF"/>
    <w:rsid w:val="00BF797A"/>
    <w:rsid w:val="00C0394E"/>
    <w:rsid w:val="00C134DF"/>
    <w:rsid w:val="00C15817"/>
    <w:rsid w:val="00C302EA"/>
    <w:rsid w:val="00C514AB"/>
    <w:rsid w:val="00C52A76"/>
    <w:rsid w:val="00C60252"/>
    <w:rsid w:val="00C6578D"/>
    <w:rsid w:val="00C6602C"/>
    <w:rsid w:val="00C84DE4"/>
    <w:rsid w:val="00C92DAE"/>
    <w:rsid w:val="00CB5050"/>
    <w:rsid w:val="00CE29C3"/>
    <w:rsid w:val="00CE3008"/>
    <w:rsid w:val="00D232B4"/>
    <w:rsid w:val="00D37768"/>
    <w:rsid w:val="00D66141"/>
    <w:rsid w:val="00D757A3"/>
    <w:rsid w:val="00D8440E"/>
    <w:rsid w:val="00D86C9C"/>
    <w:rsid w:val="00DE4E39"/>
    <w:rsid w:val="00E04C02"/>
    <w:rsid w:val="00E05477"/>
    <w:rsid w:val="00E147AD"/>
    <w:rsid w:val="00E160A7"/>
    <w:rsid w:val="00E23BB1"/>
    <w:rsid w:val="00E35931"/>
    <w:rsid w:val="00E36484"/>
    <w:rsid w:val="00E41F42"/>
    <w:rsid w:val="00E420B1"/>
    <w:rsid w:val="00E57DC0"/>
    <w:rsid w:val="00E62191"/>
    <w:rsid w:val="00E65F45"/>
    <w:rsid w:val="00E83FCD"/>
    <w:rsid w:val="00E911BB"/>
    <w:rsid w:val="00EA171D"/>
    <w:rsid w:val="00EB1536"/>
    <w:rsid w:val="00EB4CA2"/>
    <w:rsid w:val="00EB7E31"/>
    <w:rsid w:val="00EE18A2"/>
    <w:rsid w:val="00EE1C7C"/>
    <w:rsid w:val="00EE713D"/>
    <w:rsid w:val="00EF454F"/>
    <w:rsid w:val="00F0015F"/>
    <w:rsid w:val="00F01F63"/>
    <w:rsid w:val="00F027E4"/>
    <w:rsid w:val="00F16547"/>
    <w:rsid w:val="00F37165"/>
    <w:rsid w:val="00F65DD7"/>
    <w:rsid w:val="00F67601"/>
    <w:rsid w:val="00F74F78"/>
    <w:rsid w:val="00F76D77"/>
    <w:rsid w:val="00F845B5"/>
    <w:rsid w:val="00FA3BBC"/>
    <w:rsid w:val="00FA438C"/>
    <w:rsid w:val="00FA47C0"/>
    <w:rsid w:val="00FB19EC"/>
    <w:rsid w:val="00FE4327"/>
    <w:rsid w:val="00FE642E"/>
    <w:rsid w:val="072F7668"/>
    <w:rsid w:val="076371E8"/>
    <w:rsid w:val="08E552D8"/>
    <w:rsid w:val="0C95530B"/>
    <w:rsid w:val="187A0E73"/>
    <w:rsid w:val="255D64A1"/>
    <w:rsid w:val="462B5FAB"/>
    <w:rsid w:val="46A00165"/>
    <w:rsid w:val="47213261"/>
    <w:rsid w:val="4E6E2CAF"/>
    <w:rsid w:val="50501F54"/>
    <w:rsid w:val="52096DF9"/>
    <w:rsid w:val="57E10968"/>
    <w:rsid w:val="5B4F4BD5"/>
    <w:rsid w:val="627D3EE0"/>
    <w:rsid w:val="6F1754BE"/>
    <w:rsid w:val="6FAE0DB8"/>
    <w:rsid w:val="73652A97"/>
    <w:rsid w:val="74641B81"/>
    <w:rsid w:val="76C778EB"/>
    <w:rsid w:val="79A3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94AE62"/>
  <w15:docId w15:val="{DDBC4661-66D9-43DF-AC65-E6BA491D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Body Text 2" w:qFormat="1"/>
    <w:lsdException w:name="Body Text 3"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560" w:lineRule="exact"/>
      <w:ind w:firstLineChars="200" w:firstLine="640"/>
    </w:pPr>
    <w:rPr>
      <w:rFonts w:ascii="仿宋" w:eastAsia="仿宋" w:hAnsi="仿宋" w:cs="仿宋"/>
      <w:kern w:val="2"/>
      <w:sz w:val="32"/>
      <w:szCs w:val="32"/>
    </w:rPr>
  </w:style>
  <w:style w:type="paragraph" w:styleId="Heading1">
    <w:name w:val="heading 1"/>
    <w:basedOn w:val="Normal"/>
    <w:next w:val="Normal"/>
    <w:link w:val="Heading1Char"/>
    <w:qFormat/>
    <w:pPr>
      <w:ind w:firstLine="200"/>
      <w:outlineLvl w:val="0"/>
    </w:pPr>
    <w:rPr>
      <w:rFonts w:eastAsia="黑体"/>
      <w:bCs/>
      <w:kern w:val="44"/>
      <w:szCs w:val="44"/>
    </w:rPr>
  </w:style>
  <w:style w:type="paragraph" w:styleId="Heading2">
    <w:name w:val="heading 2"/>
    <w:basedOn w:val="Normal"/>
    <w:next w:val="Normal"/>
    <w:uiPriority w:val="1"/>
    <w:qFormat/>
    <w:pPr>
      <w:spacing w:before="157"/>
      <w:ind w:left="120"/>
      <w:outlineLvl w:val="1"/>
    </w:pPr>
  </w:style>
  <w:style w:type="paragraph" w:styleId="Heading3">
    <w:name w:val="heading 3"/>
    <w:basedOn w:val="Normal"/>
    <w:next w:val="Normal"/>
    <w:link w:val="Heading3Char"/>
    <w:unhideWhenUsed/>
    <w:qFormat/>
    <w:pPr>
      <w:ind w:firstLine="200"/>
      <w:outlineLvl w:val="2"/>
    </w:pPr>
    <w:rPr>
      <w:rFonts w:eastAsia="楷体"/>
      <w:bCs/>
    </w:rPr>
  </w:style>
  <w:style w:type="paragraph" w:styleId="Heading4">
    <w:name w:val="heading 4"/>
    <w:basedOn w:val="Normal"/>
    <w:next w:val="Normal"/>
    <w:link w:val="Heading4Char"/>
    <w:unhideWhenUsed/>
    <w:qFormat/>
    <w:pPr>
      <w:keepNext/>
      <w:keepLines/>
      <w:ind w:firstLineChars="0" w:firstLine="0"/>
      <w:jc w:val="center"/>
      <w:outlineLvl w:val="3"/>
    </w:pPr>
    <w:rPr>
      <w:rFonts w:ascii="黑体" w:eastAsia="黑体" w:hAnsi="黑体" w:cs="黑体"/>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qFormat/>
    <w:pPr>
      <w:ind w:firstLineChars="0" w:firstLine="0"/>
    </w:pPr>
    <w:rPr>
      <w:szCs w:val="16"/>
    </w:rPr>
  </w:style>
  <w:style w:type="paragraph" w:styleId="BodyText">
    <w:name w:val="Body Text"/>
    <w:basedOn w:val="Normal"/>
    <w:link w:val="BodyTextChar"/>
    <w:uiPriority w:val="1"/>
    <w:qFormat/>
  </w:style>
  <w:style w:type="paragraph" w:styleId="Footer">
    <w:name w:val="footer"/>
    <w:basedOn w:val="Normal"/>
    <w:qFormat/>
    <w:pPr>
      <w:tabs>
        <w:tab w:val="center" w:pos="4153"/>
        <w:tab w:val="right" w:pos="8306"/>
      </w:tabs>
      <w:snapToGrid w:val="0"/>
      <w:ind w:firstLine="360"/>
      <w:jc w:val="center"/>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Subtitle">
    <w:name w:val="Subtitle"/>
    <w:basedOn w:val="Normal"/>
    <w:next w:val="Normal"/>
    <w:link w:val="SubtitleChar"/>
    <w:qFormat/>
    <w:pPr>
      <w:spacing w:before="240" w:after="60" w:line="312" w:lineRule="auto"/>
      <w:jc w:val="center"/>
      <w:outlineLvl w:val="1"/>
    </w:pPr>
    <w:rPr>
      <w:rFonts w:asciiTheme="minorHAnsi" w:eastAsiaTheme="minorEastAsia" w:hAnsiTheme="minorHAnsi" w:cstheme="minorBidi"/>
      <w:b/>
      <w:bCs/>
      <w:kern w:val="28"/>
    </w:rPr>
  </w:style>
  <w:style w:type="paragraph" w:styleId="BodyText2">
    <w:name w:val="Body Text 2"/>
    <w:basedOn w:val="Normal"/>
    <w:link w:val="BodyText2Char"/>
    <w:qFormat/>
    <w:pPr>
      <w:spacing w:after="120" w:line="480" w:lineRule="auto"/>
    </w:pPr>
  </w:style>
  <w:style w:type="paragraph" w:styleId="Title">
    <w:name w:val="Title"/>
    <w:basedOn w:val="Normal"/>
    <w:next w:val="Normal"/>
    <w:link w:val="TitleChar"/>
    <w:qFormat/>
    <w:pPr>
      <w:spacing w:before="240" w:after="60"/>
      <w:jc w:val="center"/>
      <w:outlineLvl w:val="0"/>
    </w:pPr>
    <w:rPr>
      <w:rFonts w:asciiTheme="majorHAnsi" w:eastAsia="方正小标宋简体" w:hAnsiTheme="majorHAnsi" w:cstheme="majorBidi"/>
      <w:b/>
      <w:bCs/>
      <w:sz w:val="44"/>
    </w:rPr>
  </w:style>
  <w:style w:type="paragraph" w:styleId="BodyTextFirstIndent">
    <w:name w:val="Body Text First Indent"/>
    <w:basedOn w:val="BodyText"/>
    <w:link w:val="BodyTextFirstIndentChar"/>
    <w:qFormat/>
    <w:pPr>
      <w:spacing w:line="360" w:lineRule="auto"/>
      <w:ind w:firstLineChars="0" w:firstLine="0"/>
    </w:pPr>
    <w:rPr>
      <w:rFonts w:ascii="仿宋_GB2312" w:eastAsia="仿宋_GB2312"/>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unhideWhenUsed/>
    <w:qFormat/>
    <w:rPr>
      <w:color w:val="0026E5" w:themeColor="hyperlink"/>
      <w:u w:val="single"/>
    </w:rPr>
  </w:style>
  <w:style w:type="paragraph" w:styleId="ListParagraph">
    <w:name w:val="List Paragraph"/>
    <w:basedOn w:val="Normal"/>
    <w:uiPriority w:val="1"/>
    <w:qFormat/>
    <w:pPr>
      <w:numPr>
        <w:numId w:val="1"/>
      </w:numPr>
      <w:ind w:firstLineChars="0" w:firstLine="0"/>
    </w:pPr>
    <w:rPr>
      <w:rFonts w:cs="Times New Roman"/>
      <w:color w:val="000000" w:themeColor="text1"/>
    </w:rPr>
  </w:style>
  <w:style w:type="paragraph" w:customStyle="1" w:styleId="paragraph">
    <w:name w:val="paragraph"/>
    <w:basedOn w:val="Normal"/>
    <w:semiHidden/>
    <w:qFormat/>
    <w:pPr>
      <w:widowControl/>
      <w:spacing w:before="100" w:beforeAutospacing="1" w:after="100" w:afterAutospacing="1" w:line="360" w:lineRule="auto"/>
    </w:pPr>
    <w:rPr>
      <w:rFonts w:ascii="华文仿宋" w:eastAsia="华文仿宋" w:hAnsi="华文仿宋" w:cs="Times New Roman"/>
      <w:b/>
      <w:bCs/>
    </w:rPr>
  </w:style>
  <w:style w:type="paragraph" w:customStyle="1" w:styleId="p1">
    <w:name w:val="p1"/>
    <w:basedOn w:val="Normal"/>
    <w:qFormat/>
    <w:pPr>
      <w:widowControl/>
      <w:spacing w:beforeAutospacing="1" w:afterAutospacing="1"/>
    </w:pPr>
    <w:rPr>
      <w:rFonts w:ascii="宋体" w:eastAsia="宋体" w:hAnsi="宋体" w:cs="宋体"/>
      <w:sz w:val="24"/>
      <w:szCs w:val="24"/>
    </w:rPr>
  </w:style>
  <w:style w:type="paragraph" w:customStyle="1" w:styleId="1">
    <w:name w:val="修订1"/>
    <w:hidden/>
    <w:uiPriority w:val="99"/>
    <w:unhideWhenUsed/>
    <w:qFormat/>
    <w:pPr>
      <w:spacing w:after="120" w:line="360" w:lineRule="auto"/>
    </w:pPr>
    <w:rPr>
      <w:rFonts w:asciiTheme="minorHAnsi" w:eastAsiaTheme="minorEastAsia" w:hAnsiTheme="minorHAnsi" w:cstheme="minorBidi"/>
      <w:kern w:val="2"/>
      <w:sz w:val="21"/>
      <w:szCs w:val="24"/>
    </w:rPr>
  </w:style>
  <w:style w:type="character" w:customStyle="1" w:styleId="Heading1Char">
    <w:name w:val="Heading 1 Char"/>
    <w:basedOn w:val="DefaultParagraphFont"/>
    <w:link w:val="Heading1"/>
    <w:qFormat/>
    <w:rPr>
      <w:rFonts w:ascii="仿宋_GB2312" w:eastAsia="黑体" w:hAnsi="仿宋" w:cs="仿宋"/>
      <w:bCs/>
      <w:kern w:val="44"/>
      <w:sz w:val="32"/>
      <w:szCs w:val="44"/>
    </w:rPr>
  </w:style>
  <w:style w:type="character" w:customStyle="1" w:styleId="TitleChar">
    <w:name w:val="Title Char"/>
    <w:basedOn w:val="DefaultParagraphFont"/>
    <w:link w:val="Title"/>
    <w:qFormat/>
    <w:rPr>
      <w:rFonts w:asciiTheme="majorHAnsi" w:eastAsia="方正小标宋简体" w:hAnsiTheme="majorHAnsi" w:cstheme="majorBidi"/>
      <w:b/>
      <w:bCs/>
      <w:kern w:val="2"/>
      <w:sz w:val="44"/>
      <w:szCs w:val="32"/>
    </w:rPr>
  </w:style>
  <w:style w:type="character" w:customStyle="1" w:styleId="BodyText2Char">
    <w:name w:val="Body Text 2 Char"/>
    <w:basedOn w:val="DefaultParagraphFont"/>
    <w:link w:val="BodyText2"/>
    <w:qFormat/>
    <w:rPr>
      <w:rFonts w:ascii="仿宋_GB2312" w:eastAsia="仿宋_GB2312" w:hAnsi="仿宋" w:cs="仿宋"/>
      <w:kern w:val="2"/>
      <w:sz w:val="32"/>
      <w:szCs w:val="32"/>
    </w:rPr>
  </w:style>
  <w:style w:type="character" w:customStyle="1" w:styleId="10">
    <w:name w:val="书籍标题1"/>
    <w:basedOn w:val="TitleChar"/>
    <w:uiPriority w:val="33"/>
    <w:qFormat/>
    <w:rPr>
      <w:rFonts w:asciiTheme="majorHAnsi" w:eastAsia="黑体" w:hAnsiTheme="majorHAnsi" w:cstheme="majorBidi"/>
      <w:b w:val="0"/>
      <w:bCs w:val="0"/>
      <w:iCs/>
      <w:spacing w:val="5"/>
      <w:kern w:val="2"/>
      <w:sz w:val="32"/>
      <w:szCs w:val="32"/>
    </w:rPr>
  </w:style>
  <w:style w:type="character" w:customStyle="1" w:styleId="BodyText3Char">
    <w:name w:val="Body Text 3 Char"/>
    <w:basedOn w:val="DefaultParagraphFont"/>
    <w:link w:val="BodyText3"/>
    <w:qFormat/>
    <w:rPr>
      <w:rFonts w:ascii="仿宋_GB2312" w:eastAsia="仿宋_GB2312" w:hAnsi="仿宋" w:cs="仿宋"/>
      <w:kern w:val="2"/>
      <w:sz w:val="32"/>
      <w:szCs w:val="16"/>
    </w:rPr>
  </w:style>
  <w:style w:type="character" w:customStyle="1" w:styleId="Heading3Char">
    <w:name w:val="Heading 3 Char"/>
    <w:basedOn w:val="DefaultParagraphFont"/>
    <w:link w:val="Heading3"/>
    <w:qFormat/>
    <w:rPr>
      <w:rFonts w:ascii="仿宋_GB2312" w:eastAsia="楷体" w:hAnsi="仿宋" w:cs="仿宋"/>
      <w:bCs/>
      <w:kern w:val="2"/>
      <w:sz w:val="32"/>
      <w:szCs w:val="32"/>
    </w:rPr>
  </w:style>
  <w:style w:type="character" w:customStyle="1" w:styleId="BodyTextChar">
    <w:name w:val="Body Text Char"/>
    <w:basedOn w:val="DefaultParagraphFont"/>
    <w:link w:val="BodyText"/>
    <w:uiPriority w:val="1"/>
    <w:qFormat/>
    <w:rPr>
      <w:rFonts w:ascii="仿宋" w:eastAsia="仿宋" w:hAnsi="仿宋" w:cs="仿宋"/>
      <w:kern w:val="2"/>
      <w:sz w:val="32"/>
      <w:szCs w:val="32"/>
    </w:rPr>
  </w:style>
  <w:style w:type="character" w:customStyle="1" w:styleId="BodyTextFirstIndentChar">
    <w:name w:val="Body Text First Indent Char"/>
    <w:basedOn w:val="BodyTextChar"/>
    <w:link w:val="BodyTextFirstIndent"/>
    <w:qFormat/>
    <w:rPr>
      <w:rFonts w:ascii="仿宋_GB2312" w:eastAsia="仿宋_GB2312" w:hAnsi="仿宋" w:cs="仿宋"/>
      <w:kern w:val="2"/>
      <w:sz w:val="32"/>
      <w:szCs w:val="32"/>
    </w:rPr>
  </w:style>
  <w:style w:type="character" w:customStyle="1" w:styleId="Heading4Char">
    <w:name w:val="Heading 4 Char"/>
    <w:basedOn w:val="DefaultParagraphFont"/>
    <w:link w:val="Heading4"/>
    <w:qFormat/>
    <w:rPr>
      <w:rFonts w:ascii="黑体" w:eastAsia="黑体" w:hAnsi="黑体" w:cs="黑体"/>
      <w:b/>
      <w:bCs/>
      <w:kern w:val="2"/>
      <w:sz w:val="32"/>
      <w:szCs w:val="32"/>
    </w:rPr>
  </w:style>
  <w:style w:type="character" w:customStyle="1" w:styleId="SubtitleChar">
    <w:name w:val="Subtitle Char"/>
    <w:basedOn w:val="DefaultParagraphFont"/>
    <w:link w:val="Subtitle"/>
    <w:qFormat/>
    <w:rPr>
      <w:b/>
      <w:bCs/>
      <w:kern w:val="28"/>
      <w:sz w:val="32"/>
      <w:szCs w:val="32"/>
    </w:rPr>
  </w:style>
  <w:style w:type="paragraph" w:customStyle="1" w:styleId="Revision1">
    <w:name w:val="Revision1"/>
    <w:hidden/>
    <w:uiPriority w:val="99"/>
    <w:unhideWhenUsed/>
    <w:qFormat/>
    <w:rPr>
      <w:rFonts w:ascii="仿宋" w:eastAsia="仿宋" w:hAnsi="仿宋" w:cs="仿宋"/>
      <w:kern w:val="2"/>
      <w:sz w:val="32"/>
      <w:szCs w:val="32"/>
    </w:rPr>
  </w:style>
  <w:style w:type="paragraph" w:styleId="BalloonText">
    <w:name w:val="Balloon Text"/>
    <w:basedOn w:val="Normal"/>
    <w:link w:val="BalloonTextChar"/>
    <w:rsid w:val="004670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670E1"/>
    <w:rPr>
      <w:rFonts w:ascii="Segoe UI" w:eastAsia="仿宋"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igc.ccmapp.cn/"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DA111-E811-4390-8F70-9B046D87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秦哲文</dc:creator>
  <cp:lastModifiedBy>Yuxin Wang</cp:lastModifiedBy>
  <cp:revision>5</cp:revision>
  <cp:lastPrinted>2024-09-11T05:49:00Z</cp:lastPrinted>
  <dcterms:created xsi:type="dcterms:W3CDTF">2024-09-11T05:46:00Z</dcterms:created>
  <dcterms:modified xsi:type="dcterms:W3CDTF">2024-09-14T02:46:00Z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6623EFD0D6D0412EBC47EC4694446151_13</vt:lpwstr>
  </property>
</Properties>
</file>