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5902D">
      <w:pPr>
        <w:pStyle w:val="7"/>
        <w:keepNext w:val="0"/>
        <w:keepLines w:val="0"/>
        <w:pageBreakBefore w:val="0"/>
        <w:widowControl/>
        <w:kinsoku/>
        <w:wordWrap/>
        <w:overflowPunct/>
        <w:topLinePunct w:val="0"/>
        <w:autoSpaceDE/>
        <w:autoSpaceDN/>
        <w:bidi w:val="0"/>
        <w:adjustRightInd/>
        <w:snapToGrid/>
        <w:spacing w:before="0" w:after="313" w:afterLines="100" w:line="680" w:lineRule="exact"/>
        <w:jc w:val="left"/>
        <w:textAlignment w:val="auto"/>
        <w:rPr>
          <w:rFonts w:hint="eastAsia" w:ascii="Times New Roman" w:hAnsi="Times New Roman" w:cs="Times New Roman"/>
          <w:sz w:val="32"/>
          <w:lang w:val="en-US" w:eastAsia="zh-CN"/>
        </w:rPr>
      </w:pPr>
      <w:bookmarkStart w:id="0" w:name="_GoBack"/>
      <w:bookmarkEnd w:id="0"/>
      <w:r>
        <w:rPr>
          <w:rFonts w:hint="eastAsia" w:eastAsia="黑体"/>
          <w:sz w:val="32"/>
          <w:lang w:eastAsia="zh-CN"/>
        </w:rPr>
        <w:t>附件</w:t>
      </w:r>
      <w:r>
        <w:rPr>
          <w:rFonts w:hint="eastAsia" w:ascii="黑体" w:hAnsi="黑体" w:eastAsia="黑体" w:cs="黑体"/>
          <w:sz w:val="32"/>
          <w:lang w:val="en-US" w:eastAsia="zh-CN"/>
        </w:rPr>
        <w:t>2</w:t>
      </w:r>
    </w:p>
    <w:p w14:paraId="0ADA6089">
      <w:pPr>
        <w:pStyle w:val="7"/>
        <w:keepNext w:val="0"/>
        <w:keepLines w:val="0"/>
        <w:pageBreakBefore w:val="0"/>
        <w:widowControl/>
        <w:kinsoku/>
        <w:wordWrap/>
        <w:overflowPunct/>
        <w:topLinePunct w:val="0"/>
        <w:autoSpaceDE/>
        <w:autoSpaceDN/>
        <w:bidi w:val="0"/>
        <w:adjustRightInd/>
        <w:snapToGrid/>
        <w:spacing w:before="0" w:after="0" w:line="680" w:lineRule="exact"/>
        <w:textAlignment w:val="auto"/>
        <w:rPr>
          <w:rFonts w:hint="eastAsia" w:ascii="方正小标宋_GBK" w:hAnsi="方正小标宋_GBK" w:eastAsia="方正小标宋_GBK" w:cs="方正小标宋_GBK"/>
          <w:color w:val="000000"/>
          <w:lang w:eastAsia="zh-CN"/>
        </w:rPr>
      </w:pPr>
      <w:r>
        <w:rPr>
          <w:rFonts w:hint="eastAsia" w:ascii="Times New Roman" w:hAnsi="Times New Roman" w:eastAsia="黑体" w:cs="Times New Roman"/>
          <w:sz w:val="32"/>
        </w:rPr>
        <w:t xml:space="preserve"> </w:t>
      </w:r>
      <w:r>
        <w:rPr>
          <w:rFonts w:hint="eastAsia" w:ascii="方正小标宋_GBK" w:hAnsi="方正小标宋_GBK" w:eastAsia="方正小标宋_GBK" w:cs="方正小标宋_GBK"/>
          <w:color w:val="000000"/>
          <w:lang w:eastAsia="zh-CN"/>
        </w:rPr>
        <w:t>关于《卫星导航定位基准站管理办法</w:t>
      </w:r>
    </w:p>
    <w:p w14:paraId="650CE163">
      <w:pPr>
        <w:pStyle w:val="7"/>
        <w:keepNext w:val="0"/>
        <w:keepLines w:val="0"/>
        <w:pageBreakBefore w:val="0"/>
        <w:widowControl/>
        <w:kinsoku/>
        <w:wordWrap/>
        <w:overflowPunct/>
        <w:topLinePunct w:val="0"/>
        <w:autoSpaceDE/>
        <w:autoSpaceDN/>
        <w:bidi w:val="0"/>
        <w:adjustRightInd/>
        <w:snapToGrid/>
        <w:spacing w:before="0" w:after="0" w:line="680" w:lineRule="exact"/>
        <w:textAlignment w:val="auto"/>
        <w:rPr>
          <w:rFonts w:hint="eastAsia" w:ascii="方正小标宋_GBK" w:hAnsi="方正小标宋_GBK" w:eastAsia="方正小标宋_GBK" w:cs="方正小标宋_GBK"/>
          <w:color w:val="000000"/>
        </w:rPr>
      </w:pPr>
      <w:r>
        <w:rPr>
          <w:rFonts w:hint="eastAsia" w:ascii="方正小标宋_GBK" w:hAnsi="方正小标宋_GBK" w:eastAsia="方正小标宋_GBK" w:cs="方正小标宋_GBK"/>
          <w:color w:val="000000"/>
          <w:lang w:eastAsia="zh-CN"/>
        </w:rPr>
        <w:t>（征求意见稿）</w:t>
      </w:r>
      <w:r>
        <w:rPr>
          <w:rFonts w:hint="eastAsia" w:ascii="方正小标宋_GBK" w:hAnsi="方正小标宋_GBK" w:eastAsia="方正小标宋_GBK" w:cs="方正小标宋_GBK"/>
          <w:color w:val="000000"/>
        </w:rPr>
        <w:t>》</w:t>
      </w:r>
      <w:r>
        <w:rPr>
          <w:rFonts w:hint="eastAsia" w:ascii="方正小标宋_GBK" w:hAnsi="方正小标宋_GBK" w:eastAsia="方正小标宋_GBK" w:cs="方正小标宋_GBK"/>
          <w:color w:val="000000"/>
          <w:lang w:eastAsia="zh-CN"/>
        </w:rPr>
        <w:t>的起草</w:t>
      </w:r>
      <w:r>
        <w:rPr>
          <w:rFonts w:hint="eastAsia" w:ascii="方正小标宋_GBK" w:hAnsi="方正小标宋_GBK" w:eastAsia="方正小标宋_GBK" w:cs="方正小标宋_GBK"/>
          <w:color w:val="000000"/>
        </w:rPr>
        <w:t>说明</w:t>
      </w:r>
    </w:p>
    <w:p w14:paraId="582AA2D8">
      <w:pPr>
        <w:rPr>
          <w:color w:val="000000"/>
        </w:rPr>
      </w:pPr>
    </w:p>
    <w:p w14:paraId="38D41072">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根据部</w:t>
      </w:r>
      <w:r>
        <w:rPr>
          <w:rFonts w:hint="eastAsia" w:ascii="仿宋_GB2312" w:hAnsi="仿宋_GB2312" w:eastAsia="仿宋_GB2312" w:cs="仿宋_GB2312"/>
          <w:sz w:val="32"/>
          <w:szCs w:val="32"/>
          <w:lang w:val="en-US" w:eastAsia="zh-CN"/>
        </w:rPr>
        <w:t>2024年度立法工作计划，测绘司会同法规司研究起草了《卫星导航定位基准站管理办法（征求意见稿）</w:t>
      </w:r>
      <w:r>
        <w:rPr>
          <w:rFonts w:hint="default" w:ascii="仿宋_GB2312" w:hAnsi="仿宋_GB2312" w:eastAsia="仿宋_GB2312" w:cs="仿宋_GB2312"/>
          <w:color w:val="000000"/>
          <w:sz w:val="32"/>
          <w:szCs w:val="32"/>
          <w:lang/>
        </w:rPr>
        <w:t>》</w:t>
      </w:r>
      <w:r>
        <w:rPr>
          <w:rFonts w:hint="eastAsia" w:ascii="仿宋_GB2312" w:hAnsi="仿宋_GB2312" w:eastAsia="仿宋_GB2312" w:cs="仿宋_GB2312"/>
          <w:sz w:val="32"/>
          <w:szCs w:val="32"/>
          <w:lang w:val="en-US" w:eastAsia="zh-CN"/>
        </w:rPr>
        <w:t>，现将有关情况说明如下。</w:t>
      </w:r>
    </w:p>
    <w:p w14:paraId="2683EED3">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立法的</w:t>
      </w:r>
      <w:r>
        <w:rPr>
          <w:rFonts w:hint="eastAsia" w:ascii="黑体" w:hAnsi="黑体" w:eastAsia="黑体"/>
          <w:sz w:val="32"/>
          <w:szCs w:val="32"/>
        </w:rPr>
        <w:t>必要性</w:t>
      </w:r>
    </w:p>
    <w:p w14:paraId="2EA24CC9">
      <w:pPr>
        <w:ind w:firstLine="640"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2016年，原国家测绘地理信息局印发了《卫星导航定位基准站建设备案办法（试行）》（国</w:t>
      </w:r>
      <w:r>
        <w:rPr>
          <w:rFonts w:hint="default" w:ascii="仿宋_GB2312" w:hAnsi="仿宋_GB2312" w:eastAsia="仿宋_GB2312" w:cs="仿宋_GB2312"/>
          <w:color w:val="000000"/>
          <w:kern w:val="2"/>
          <w:sz w:val="32"/>
          <w:szCs w:val="32"/>
          <w:lang w:bidi="ar"/>
        </w:rPr>
        <w:t>测</w:t>
      </w:r>
      <w:r>
        <w:rPr>
          <w:rFonts w:hint="eastAsia" w:ascii="仿宋_GB2312" w:hAnsi="仿宋_GB2312" w:eastAsia="仿宋_GB2312" w:cs="仿宋_GB2312"/>
          <w:kern w:val="2"/>
          <w:sz w:val="32"/>
          <w:szCs w:val="32"/>
          <w:lang w:val="en-US" w:eastAsia="zh-CN" w:bidi="ar"/>
        </w:rPr>
        <w:t>法发〔2016〕4号，以下简称4号文），建立并实行了卫星导航定位基准站（以下简称基准站）建设备案制度，国</w:t>
      </w:r>
      <w:r>
        <w:rPr>
          <w:rFonts w:hint="default" w:ascii="仿宋_GB2312" w:hAnsi="仿宋_GB2312" w:eastAsia="仿宋_GB2312" w:cs="仿宋_GB2312"/>
          <w:color w:val="000000"/>
          <w:kern w:val="2"/>
          <w:sz w:val="32"/>
          <w:szCs w:val="32"/>
          <w:lang w:bidi="ar"/>
        </w:rPr>
        <w:t>省</w:t>
      </w:r>
      <w:r>
        <w:rPr>
          <w:rFonts w:hint="eastAsia" w:ascii="仿宋_GB2312" w:hAnsi="仿宋_GB2312" w:eastAsia="仿宋_GB2312" w:cs="仿宋_GB2312"/>
          <w:kern w:val="2"/>
          <w:sz w:val="32"/>
          <w:szCs w:val="32"/>
          <w:lang w:val="en-US" w:eastAsia="zh-CN" w:bidi="ar"/>
        </w:rPr>
        <w:t>两级测绘地理信息行政主管部门依据4号文开展了基准站建设备案工作，对于维护国家地理信息安全、促进卫星导航产业发展起到了重要作用。但是，随着经济社会发展和技术进步，基准站建设和服务走向规模化、市场化，4号文已不能完全适应新形势新要求，</w:t>
      </w:r>
      <w:r>
        <w:rPr>
          <w:rFonts w:hint="default" w:ascii="仿宋_GB2312" w:hAnsi="仿宋_GB2312" w:eastAsia="仿宋_GB2312" w:cs="仿宋_GB2312"/>
          <w:color w:val="000000"/>
          <w:kern w:val="2"/>
          <w:sz w:val="32"/>
          <w:szCs w:val="32"/>
          <w:lang w:bidi="ar"/>
        </w:rPr>
        <w:t>亟需进行</w:t>
      </w:r>
      <w:r>
        <w:rPr>
          <w:rFonts w:hint="eastAsia" w:ascii="仿宋_GB2312" w:hAnsi="仿宋_GB2312" w:eastAsia="仿宋_GB2312" w:cs="仿宋_GB2312"/>
          <w:kern w:val="2"/>
          <w:sz w:val="32"/>
          <w:szCs w:val="32"/>
          <w:lang w:val="en-US" w:eastAsia="zh-CN" w:bidi="ar"/>
        </w:rPr>
        <w:t>全面修改并上升立法层级。</w:t>
      </w:r>
    </w:p>
    <w:p w14:paraId="333B5888">
      <w:pPr>
        <w:numPr>
          <w:ilvl w:val="0"/>
          <w:numId w:val="1"/>
        </w:numPr>
        <w:spacing w:line="360" w:lineRule="auto"/>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新修订的《</w:t>
      </w:r>
      <w:r>
        <w:rPr>
          <w:rFonts w:hint="eastAsia" w:ascii="楷体_GB2312" w:hAnsi="楷体_GB2312" w:eastAsia="楷体_GB2312" w:cs="楷体_GB2312"/>
          <w:sz w:val="32"/>
          <w:szCs w:val="32"/>
          <w:lang w:val="en-US" w:eastAsia="zh-CN"/>
        </w:rPr>
        <w:t>中华人民共和国</w:t>
      </w:r>
      <w:r>
        <w:rPr>
          <w:rFonts w:hint="eastAsia" w:ascii="楷体_GB2312" w:hAnsi="楷体_GB2312" w:eastAsia="楷体_GB2312" w:cs="楷体_GB2312"/>
          <w:sz w:val="32"/>
          <w:szCs w:val="32"/>
          <w:lang w:eastAsia="zh-CN"/>
        </w:rPr>
        <w:t>测绘法》对卫星导航定位基准站管理提出新要求。</w:t>
      </w:r>
    </w:p>
    <w:p w14:paraId="460475C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0"/>
        <w:rPr>
          <w:rFonts w:hint="eastAsia" w:ascii="仿宋_GB2312" w:hAnsi="仿宋_GB2312" w:eastAsia="仿宋_GB2312" w:cs="仿宋_GB2312"/>
          <w:kern w:val="2"/>
          <w:sz w:val="32"/>
          <w:szCs w:val="32"/>
          <w:lang w:val="en-US" w:eastAsia="zh-CN" w:bidi="ar"/>
        </w:rPr>
      </w:pPr>
      <w:r>
        <w:rPr>
          <w:rFonts w:hint="eastAsia" w:ascii="仿宋_GB2312" w:eastAsia="仿宋_GB2312"/>
          <w:sz w:val="32"/>
          <w:lang w:val="en-US" w:eastAsia="zh-CN"/>
        </w:rPr>
        <w:t>2017年7月1日，新修订的</w:t>
      </w:r>
      <w:r>
        <w:rPr>
          <w:rFonts w:hint="eastAsia" w:ascii="仿宋_GB2312" w:hAnsi="仿宋_GB2312" w:eastAsia="仿宋_GB2312" w:cs="仿宋_GB2312"/>
          <w:kern w:val="2"/>
          <w:sz w:val="32"/>
          <w:szCs w:val="32"/>
          <w:lang w:val="en-US" w:eastAsia="zh-CN" w:bidi="ar"/>
        </w:rPr>
        <w:t>《中华人民共和国测绘法》施行，其中，第九条规定“</w:t>
      </w:r>
      <w:r>
        <w:rPr>
          <w:rFonts w:hint="eastAsia" w:ascii="黑体" w:hAnsi="黑体" w:eastAsia="黑体" w:cs="黑体"/>
          <w:kern w:val="2"/>
          <w:sz w:val="32"/>
          <w:szCs w:val="32"/>
          <w:lang w:val="en-US" w:eastAsia="zh-CN"/>
        </w:rPr>
        <w:t>国家设立和采用全国统一的大地基准、高程基准、深度基准和重力基准</w:t>
      </w:r>
      <w:r>
        <w:rPr>
          <w:rFonts w:hint="eastAsia" w:ascii="仿宋_GB2312" w:hAnsi="仿宋_GB2312" w:eastAsia="仿宋_GB2312" w:cs="仿宋_GB2312"/>
          <w:kern w:val="2"/>
          <w:sz w:val="32"/>
          <w:szCs w:val="32"/>
          <w:lang w:val="en-US" w:eastAsia="zh-CN" w:bidi="ar"/>
        </w:rPr>
        <w:t>”，第十二条规定“……</w:t>
      </w:r>
      <w:r>
        <w:rPr>
          <w:rFonts w:hint="eastAsia" w:ascii="黑体" w:hAnsi="黑体" w:eastAsia="黑体" w:cs="黑体"/>
          <w:kern w:val="2"/>
          <w:sz w:val="32"/>
          <w:szCs w:val="32"/>
          <w:lang w:val="en-US" w:eastAsia="zh-CN"/>
        </w:rPr>
        <w:t>按照统筹建设、资源共享的原则，建立统一的卫星导航定位基准服务系统，提供导航定位基准信息公共服务</w:t>
      </w:r>
      <w:r>
        <w:rPr>
          <w:rFonts w:hint="eastAsia" w:ascii="仿宋_GB2312" w:hAnsi="仿宋_GB2312" w:eastAsia="仿宋_GB2312" w:cs="仿宋_GB2312"/>
          <w:kern w:val="2"/>
          <w:sz w:val="32"/>
          <w:szCs w:val="32"/>
          <w:lang w:val="en-US" w:eastAsia="zh-CN" w:bidi="ar"/>
        </w:rPr>
        <w:t>”，第十三条规定“</w:t>
      </w:r>
      <w:r>
        <w:rPr>
          <w:rFonts w:hint="eastAsia" w:ascii="黑体" w:hAnsi="黑体" w:eastAsia="黑体" w:cs="黑体"/>
          <w:kern w:val="2"/>
          <w:sz w:val="32"/>
          <w:szCs w:val="32"/>
          <w:lang w:val="en-US" w:eastAsia="zh-CN"/>
        </w:rPr>
        <w:t>建设卫星导航定位基准站的，建设单位应当按照国家有关规定报</w:t>
      </w:r>
      <w:r>
        <w:rPr>
          <w:rFonts w:hint="eastAsia" w:ascii="仿宋_GB2312" w:hAnsi="仿宋_GB2312" w:eastAsia="仿宋_GB2312" w:cs="仿宋_GB2312"/>
          <w:kern w:val="2"/>
          <w:sz w:val="32"/>
          <w:szCs w:val="32"/>
          <w:lang w:val="en-US" w:eastAsia="zh-CN" w:bidi="ar"/>
        </w:rPr>
        <w:t>……</w:t>
      </w:r>
      <w:r>
        <w:rPr>
          <w:rFonts w:hint="eastAsia" w:ascii="黑体" w:hAnsi="黑体" w:eastAsia="黑体" w:cs="黑体"/>
          <w:kern w:val="2"/>
          <w:sz w:val="32"/>
          <w:szCs w:val="32"/>
          <w:lang w:val="en-US" w:eastAsia="zh-CN"/>
        </w:rPr>
        <w:t>主管部门备案</w:t>
      </w:r>
      <w:r>
        <w:rPr>
          <w:rFonts w:hint="eastAsia" w:ascii="仿宋_GB2312" w:hAnsi="仿宋_GB2312" w:eastAsia="仿宋_GB2312" w:cs="仿宋_GB2312"/>
          <w:kern w:val="2"/>
          <w:sz w:val="32"/>
          <w:szCs w:val="32"/>
          <w:lang w:val="en-US" w:eastAsia="zh-CN" w:bidi="ar"/>
        </w:rPr>
        <w:t>”，第十四条规定“</w:t>
      </w:r>
      <w:r>
        <w:rPr>
          <w:rFonts w:hint="eastAsia" w:ascii="黑体" w:hAnsi="黑体" w:eastAsia="黑体" w:cs="黑体"/>
          <w:kern w:val="2"/>
          <w:sz w:val="32"/>
          <w:szCs w:val="32"/>
          <w:lang w:val="en-US" w:eastAsia="zh-CN"/>
        </w:rPr>
        <w:t>卫星导航定位基准站的建设和运行维护应当符合国家标准和要求，不得危害国家安全。</w:t>
      </w:r>
      <w:r>
        <w:rPr>
          <w:rFonts w:hint="eastAsia" w:ascii="仿宋_GB2312" w:hAnsi="仿宋_GB2312" w:eastAsia="仿宋_GB2312" w:cs="仿宋_GB2312"/>
          <w:kern w:val="2"/>
          <w:sz w:val="32"/>
          <w:szCs w:val="32"/>
          <w:lang w:val="en-US" w:eastAsia="zh-CN" w:bidi="ar"/>
        </w:rPr>
        <w:t>……</w:t>
      </w:r>
      <w:r>
        <w:rPr>
          <w:rFonts w:hint="eastAsia" w:ascii="黑体" w:hAnsi="黑体" w:eastAsia="黑体" w:cs="黑体"/>
          <w:kern w:val="2"/>
          <w:sz w:val="32"/>
          <w:szCs w:val="32"/>
          <w:lang w:val="en-US" w:eastAsia="zh-CN"/>
        </w:rPr>
        <w:t>应当建立数据安全保障制度</w:t>
      </w:r>
      <w:r>
        <w:rPr>
          <w:rFonts w:hint="default" w:ascii="黑体" w:hAnsi="黑体" w:eastAsia="黑体" w:cs="黑体"/>
          <w:color w:val="000000"/>
          <w:kern w:val="2"/>
          <w:sz w:val="32"/>
          <w:szCs w:val="32"/>
          <w:lang/>
        </w:rPr>
        <w:t>，</w:t>
      </w:r>
      <w:r>
        <w:rPr>
          <w:rFonts w:hint="eastAsia" w:ascii="仿宋_GB2312" w:hAnsi="仿宋_GB2312" w:eastAsia="仿宋_GB2312" w:cs="仿宋_GB2312"/>
          <w:kern w:val="2"/>
          <w:sz w:val="32"/>
          <w:szCs w:val="32"/>
          <w:lang w:val="en-US" w:eastAsia="zh-CN" w:bidi="ar"/>
        </w:rPr>
        <w:t>……</w:t>
      </w:r>
      <w:r>
        <w:rPr>
          <w:rFonts w:hint="eastAsia" w:ascii="黑体" w:hAnsi="黑体" w:eastAsia="黑体" w:cs="黑体"/>
          <w:kern w:val="2"/>
          <w:sz w:val="32"/>
          <w:szCs w:val="32"/>
          <w:lang w:val="en-US" w:eastAsia="zh-CN"/>
        </w:rPr>
        <w:t>加强对卫星导航定位基准站建设和运行维护的规范和指导</w:t>
      </w:r>
      <w:r>
        <w:rPr>
          <w:rFonts w:hint="eastAsia" w:ascii="仿宋_GB2312" w:hAnsi="仿宋_GB2312" w:eastAsia="仿宋_GB2312" w:cs="仿宋_GB2312"/>
          <w:kern w:val="2"/>
          <w:sz w:val="32"/>
          <w:szCs w:val="32"/>
          <w:lang w:val="en-US" w:eastAsia="zh-CN" w:bidi="ar"/>
        </w:rPr>
        <w:t>”，并对建设基准站不备案、无资质测绘、基准站建设和运行维护不符合国家标准和要求等行为的处罚措施进行了明确规定。</w:t>
      </w:r>
    </w:p>
    <w:p w14:paraId="734BD91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0"/>
        <w:rPr>
          <w:rFonts w:hint="eastAsia" w:ascii="仿宋_GB2312" w:eastAsia="仿宋_GB2312"/>
          <w:sz w:val="32"/>
          <w:szCs w:val="32"/>
          <w:lang w:eastAsia="zh-CN"/>
        </w:rPr>
      </w:pPr>
      <w:r>
        <w:rPr>
          <w:rFonts w:hint="eastAsia" w:ascii="黑体" w:hAnsi="黑体" w:eastAsia="黑体" w:cs="黑体"/>
          <w:b w:val="0"/>
          <w:bCs w:val="0"/>
          <w:kern w:val="2"/>
          <w:sz w:val="32"/>
          <w:szCs w:val="32"/>
          <w:lang w:val="en-US" w:eastAsia="zh-CN" w:bidi="ar"/>
        </w:rPr>
        <w:t>4号文在基准站统筹建设、测绘基准溯源、建设服务监管和违规处罚措施等方面与《测绘法》未进行有效衔接</w:t>
      </w:r>
      <w:r>
        <w:rPr>
          <w:rFonts w:hint="eastAsia" w:ascii="黑体" w:hAnsi="黑体" w:eastAsia="黑体" w:cs="黑体"/>
          <w:kern w:val="2"/>
          <w:sz w:val="32"/>
          <w:szCs w:val="32"/>
          <w:lang w:val="en-US" w:eastAsia="zh-CN" w:bidi="ar"/>
        </w:rPr>
        <w:t>，</w:t>
      </w:r>
      <w:r>
        <w:rPr>
          <w:rFonts w:hint="eastAsia" w:ascii="仿宋_GB2312" w:hAnsi="仿宋_GB2312" w:eastAsia="仿宋_GB2312" w:cs="仿宋_GB2312"/>
          <w:kern w:val="2"/>
          <w:sz w:val="32"/>
          <w:szCs w:val="32"/>
          <w:lang w:val="en-US" w:eastAsia="zh-CN" w:bidi="ar"/>
        </w:rPr>
        <w:t>且</w:t>
      </w:r>
      <w:r>
        <w:rPr>
          <w:rFonts w:hint="eastAsia" w:ascii="仿宋_GB2312" w:eastAsia="仿宋_GB2312"/>
          <w:sz w:val="32"/>
          <w:szCs w:val="32"/>
          <w:lang w:val="en-US" w:eastAsia="zh-CN"/>
        </w:rPr>
        <w:t>4</w:t>
      </w:r>
      <w:r>
        <w:rPr>
          <w:rFonts w:hint="eastAsia" w:ascii="仿宋_GB2312" w:eastAsia="仿宋_GB2312"/>
          <w:sz w:val="32"/>
          <w:szCs w:val="32"/>
        </w:rPr>
        <w:t>号</w:t>
      </w:r>
      <w:r>
        <w:rPr>
          <w:rFonts w:hint="eastAsia" w:ascii="仿宋_GB2312" w:eastAsia="仿宋_GB2312"/>
          <w:sz w:val="32"/>
          <w:szCs w:val="32"/>
          <w:lang w:eastAsia="zh-CN"/>
        </w:rPr>
        <w:t>文属于规范性文件，</w:t>
      </w:r>
      <w:r>
        <w:rPr>
          <w:rFonts w:hint="eastAsia" w:ascii="黑体" w:hAnsi="黑体" w:eastAsia="黑体" w:cs="黑体"/>
          <w:b w:val="0"/>
          <w:bCs w:val="0"/>
          <w:kern w:val="2"/>
          <w:sz w:val="32"/>
          <w:szCs w:val="32"/>
          <w:lang w:eastAsia="zh-CN" w:bidi="ar"/>
        </w:rPr>
        <w:t>法律位阶较低，</w:t>
      </w:r>
      <w:r>
        <w:rPr>
          <w:rFonts w:hint="default" w:ascii="仿宋_GB2312" w:eastAsia="仿宋_GB2312"/>
          <w:color w:val="000000"/>
          <w:sz w:val="32"/>
          <w:szCs w:val="32"/>
          <w:lang/>
        </w:rPr>
        <w:t>亟需</w:t>
      </w:r>
      <w:r>
        <w:rPr>
          <w:rFonts w:hint="eastAsia" w:ascii="仿宋_GB2312" w:eastAsia="仿宋_GB2312"/>
          <w:sz w:val="32"/>
          <w:szCs w:val="32"/>
          <w:lang w:eastAsia="zh-CN"/>
        </w:rPr>
        <w:t>按照党中央、国务院有关要求，以及新修订的《测绘法》有关规定，结合管理实践对其进行全面修改并以部门规章形式公布实施。</w:t>
      </w:r>
    </w:p>
    <w:p w14:paraId="047A037A">
      <w:pPr>
        <w:numPr>
          <w:ilvl w:val="0"/>
          <w:numId w:val="1"/>
        </w:numPr>
        <w:ind w:left="0" w:leftChars="0"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现行基准站建设备案办法已不适应实践需求。</w:t>
      </w:r>
    </w:p>
    <w:p w14:paraId="2CCCC73F">
      <w:p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现行基准站建设备案制度在基准站管理实践中存在一些问题，主要包括：</w:t>
      </w:r>
      <w:r>
        <w:rPr>
          <w:rFonts w:hint="eastAsia" w:ascii="黑体" w:hAnsi="黑体" w:eastAsia="黑体" w:cs="黑体"/>
          <w:sz w:val="32"/>
          <w:szCs w:val="32"/>
          <w:lang w:eastAsia="zh-CN"/>
        </w:rPr>
        <w:t>一是</w:t>
      </w:r>
      <w:r>
        <w:rPr>
          <w:rFonts w:hint="eastAsia" w:ascii="仿宋_GB2312" w:hAnsi="仿宋_GB2312" w:eastAsia="仿宋_GB2312" w:cs="仿宋_GB2312"/>
          <w:color w:val="auto"/>
          <w:kern w:val="2"/>
          <w:sz w:val="32"/>
          <w:szCs w:val="32"/>
          <w:highlight w:val="none"/>
          <w:lang w:val="en-US" w:eastAsia="zh-CN" w:bidi="ar"/>
        </w:rPr>
        <w:t>基准站建设备案原则不够明确，管理约束力不强；</w:t>
      </w:r>
      <w:r>
        <w:rPr>
          <w:rFonts w:hint="eastAsia" w:ascii="仿宋_GB2312" w:eastAsia="仿宋_GB2312"/>
          <w:sz w:val="32"/>
          <w:szCs w:val="32"/>
          <w:lang w:eastAsia="zh-CN"/>
        </w:rPr>
        <w:t>备案人填报备案信息内容较多，部分信息</w:t>
      </w:r>
      <w:r>
        <w:rPr>
          <w:rFonts w:hint="eastAsia" w:ascii="仿宋_GB2312" w:hAnsi="等线" w:eastAsia="仿宋_GB2312" w:cs="Times New Roman"/>
          <w:sz w:val="32"/>
          <w:szCs w:val="32"/>
          <w:lang w:eastAsia="zh-CN"/>
        </w:rPr>
        <w:t>在建设前不能确定</w:t>
      </w:r>
      <w:r>
        <w:rPr>
          <w:rFonts w:hint="eastAsia" w:ascii="仿宋_GB2312" w:eastAsia="仿宋_GB2312"/>
          <w:sz w:val="32"/>
          <w:szCs w:val="32"/>
          <w:lang w:eastAsia="zh-CN"/>
        </w:rPr>
        <w:t>。</w:t>
      </w:r>
      <w:r>
        <w:rPr>
          <w:rFonts w:hint="eastAsia" w:ascii="黑体" w:hAnsi="黑体" w:eastAsia="黑体" w:cs="黑体"/>
          <w:sz w:val="32"/>
          <w:szCs w:val="32"/>
          <w:lang w:eastAsia="zh-CN"/>
        </w:rPr>
        <w:t>二是</w:t>
      </w:r>
      <w:r>
        <w:rPr>
          <w:rFonts w:hint="eastAsia" w:ascii="仿宋_GB2312" w:hAnsi="仿宋_GB2312" w:eastAsia="仿宋_GB2312" w:cs="仿宋_GB2312"/>
          <w:color w:val="auto"/>
          <w:kern w:val="2"/>
          <w:sz w:val="32"/>
          <w:szCs w:val="32"/>
          <w:highlight w:val="none"/>
          <w:lang w:val="en-US" w:eastAsia="zh-CN" w:bidi="ar"/>
        </w:rPr>
        <w:t>管理范围不够清晰，</w:t>
      </w:r>
      <w:r>
        <w:rPr>
          <w:rFonts w:hint="eastAsia" w:ascii="仿宋_GB2312" w:eastAsia="仿宋_GB2312"/>
          <w:color w:val="auto"/>
          <w:sz w:val="32"/>
          <w:lang w:val="en-US" w:eastAsia="zh-CN"/>
        </w:rPr>
        <w:t>对于近年来出现的</w:t>
      </w:r>
      <w:r>
        <w:rPr>
          <w:rFonts w:hint="eastAsia" w:ascii="仿宋_GB2312" w:hAnsi="仿宋" w:eastAsia="仿宋_GB2312"/>
          <w:color w:val="auto"/>
          <w:sz w:val="32"/>
          <w:lang w:val="en-US" w:eastAsia="zh-CN"/>
        </w:rPr>
        <w:t>只建数据中心</w:t>
      </w:r>
      <w:r>
        <w:rPr>
          <w:rFonts w:hint="eastAsia" w:ascii="仿宋_GB2312" w:eastAsia="仿宋_GB2312"/>
          <w:color w:val="auto"/>
          <w:sz w:val="32"/>
          <w:lang w:val="en-US" w:eastAsia="zh-CN"/>
        </w:rPr>
        <w:t>不建设</w:t>
      </w:r>
      <w:r>
        <w:rPr>
          <w:rFonts w:hint="eastAsia" w:ascii="仿宋_GB2312" w:hAnsi="仿宋" w:eastAsia="仿宋_GB2312"/>
          <w:color w:val="auto"/>
          <w:sz w:val="32"/>
          <w:lang w:val="en-US" w:eastAsia="zh-CN"/>
        </w:rPr>
        <w:t>基准站</w:t>
      </w:r>
      <w:r>
        <w:rPr>
          <w:rFonts w:hint="eastAsia" w:ascii="仿宋_GB2312" w:eastAsia="仿宋_GB2312"/>
          <w:color w:val="auto"/>
          <w:sz w:val="32"/>
          <w:lang w:val="en-US" w:eastAsia="zh-CN"/>
        </w:rPr>
        <w:t>等新模式，难以做到有效覆盖</w:t>
      </w:r>
      <w:r>
        <w:rPr>
          <w:rFonts w:hint="eastAsia" w:ascii="仿宋_GB2312" w:hAnsi="仿宋" w:eastAsia="仿宋_GB2312"/>
          <w:color w:val="auto"/>
          <w:sz w:val="32"/>
          <w:lang w:val="en-US" w:eastAsia="zh-CN"/>
        </w:rPr>
        <w:t>。</w:t>
      </w:r>
      <w:r>
        <w:rPr>
          <w:rFonts w:hint="eastAsia" w:ascii="黑体" w:hAnsi="黑体" w:eastAsia="黑体" w:cs="黑体"/>
          <w:sz w:val="32"/>
          <w:szCs w:val="32"/>
          <w:lang w:eastAsia="zh-CN"/>
        </w:rPr>
        <w:t>三是</w:t>
      </w:r>
      <w:r>
        <w:rPr>
          <w:rFonts w:hint="eastAsia" w:ascii="仿宋_GB2312" w:eastAsia="仿宋_GB2312"/>
          <w:color w:val="auto"/>
          <w:sz w:val="32"/>
          <w:lang w:val="en-US" w:eastAsia="zh-CN"/>
        </w:rPr>
        <w:t>缺少基准站服务测绘基准溯源的相关内容，无法保障各类测绘活动的测绘基准一致性</w:t>
      </w:r>
      <w:r>
        <w:rPr>
          <w:rFonts w:hint="eastAsia" w:ascii="仿宋_GB2312" w:hAnsi="仿宋" w:eastAsia="仿宋_GB2312"/>
          <w:color w:val="auto"/>
          <w:sz w:val="32"/>
          <w:lang w:val="en-US" w:eastAsia="zh-CN"/>
        </w:rPr>
        <w:t>。</w:t>
      </w: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是</w:t>
      </w:r>
      <w:r>
        <w:rPr>
          <w:rFonts w:hint="eastAsia" w:ascii="仿宋_GB2312" w:hAnsi="仿宋_GB2312" w:eastAsia="仿宋_GB2312" w:cs="仿宋_GB2312"/>
          <w:kern w:val="2"/>
          <w:sz w:val="32"/>
          <w:szCs w:val="32"/>
          <w:lang w:val="en-US" w:eastAsia="zh-CN" w:bidi="ar"/>
        </w:rPr>
        <w:t>缺少事前事中事后监管措施，存在“建前备案不充分、建后监管不到位”的</w:t>
      </w:r>
      <w:r>
        <w:rPr>
          <w:rFonts w:hint="eastAsia" w:ascii="仿宋_GB2312" w:eastAsia="仿宋_GB2312"/>
          <w:sz w:val="32"/>
          <w:szCs w:val="32"/>
          <w:lang w:val="en-US" w:eastAsia="zh-CN"/>
        </w:rPr>
        <w:t>问题。</w:t>
      </w:r>
      <w:r>
        <w:rPr>
          <w:rFonts w:hint="eastAsia" w:ascii="仿宋_GB2312" w:eastAsia="仿宋_GB2312"/>
          <w:sz w:val="32"/>
          <w:szCs w:val="32"/>
          <w:lang w:eastAsia="zh-CN"/>
        </w:rPr>
        <w:t>为适应管理实践，</w:t>
      </w:r>
      <w:r>
        <w:rPr>
          <w:rFonts w:hint="default" w:ascii="仿宋_GB2312" w:eastAsia="仿宋_GB2312"/>
          <w:color w:val="000000"/>
          <w:sz w:val="32"/>
          <w:szCs w:val="32"/>
          <w:lang/>
        </w:rPr>
        <w:t>亟需对</w:t>
      </w:r>
      <w:r>
        <w:rPr>
          <w:rFonts w:hint="eastAsia" w:ascii="仿宋_GB2312" w:eastAsia="仿宋_GB2312"/>
          <w:sz w:val="32"/>
          <w:szCs w:val="32"/>
          <w:lang w:val="en-US" w:eastAsia="zh-CN"/>
        </w:rPr>
        <w:t>4号文建立的基准站建设备案和监管制度</w:t>
      </w:r>
      <w:r>
        <w:rPr>
          <w:rFonts w:hint="eastAsia" w:ascii="仿宋_GB2312" w:eastAsia="仿宋_GB2312"/>
          <w:sz w:val="32"/>
          <w:szCs w:val="32"/>
          <w:lang w:eastAsia="zh-CN"/>
        </w:rPr>
        <w:t>进行调整完善。</w:t>
      </w:r>
    </w:p>
    <w:p w14:paraId="3C83E461">
      <w:pPr>
        <w:spacing w:line="360" w:lineRule="auto"/>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起草</w:t>
      </w:r>
      <w:r>
        <w:rPr>
          <w:rFonts w:ascii="黑体" w:hAnsi="黑体" w:eastAsia="黑体"/>
          <w:sz w:val="32"/>
          <w:szCs w:val="32"/>
        </w:rPr>
        <w:t>过程</w:t>
      </w:r>
    </w:p>
    <w:p w14:paraId="7892F58C">
      <w:pPr>
        <w:spacing w:line="360" w:lineRule="auto"/>
        <w:ind w:left="0" w:leftChars="0" w:firstLine="0" w:firstLineChars="0"/>
        <w:rPr>
          <w:rFonts w:hint="eastAsia" w:ascii="仿宋_GB2312" w:eastAsia="仿宋_GB2312"/>
          <w:sz w:val="32"/>
          <w:szCs w:val="32"/>
          <w:lang w:eastAsia="zh-CN"/>
        </w:rPr>
      </w:pPr>
      <w:r>
        <w:rPr>
          <w:rFonts w:hint="eastAsia" w:ascii="仿宋_GB2312" w:eastAsia="仿宋_GB2312"/>
          <w:sz w:val="32"/>
          <w:szCs w:val="32"/>
          <w:lang w:val="en-US" w:eastAsia="zh-CN"/>
        </w:rPr>
        <w:t xml:space="preserve">   《卫星导航定位基准站管理办法》（以下简称《办法》）列入部2024年度立法工作计划。测绘司在总结实践经验、深入调查研究并广泛征求各方面意见的基础上，起草了《办法（征求意见稿）》。</w:t>
      </w:r>
      <w:r>
        <w:rPr>
          <w:rFonts w:hint="eastAsia" w:ascii="仿宋_GB2312" w:eastAsia="仿宋_GB2312"/>
          <w:sz w:val="32"/>
          <w:szCs w:val="32"/>
          <w:lang w:eastAsia="zh-CN"/>
        </w:rPr>
        <w:t>《办法》起草工作于20</w:t>
      </w:r>
      <w:r>
        <w:rPr>
          <w:rFonts w:hint="eastAsia" w:ascii="仿宋_GB2312" w:eastAsia="仿宋_GB2312"/>
          <w:sz w:val="32"/>
          <w:szCs w:val="32"/>
          <w:lang w:val="en-US" w:eastAsia="zh-CN"/>
        </w:rPr>
        <w:t>22</w:t>
      </w:r>
      <w:r>
        <w:rPr>
          <w:rFonts w:hint="eastAsia" w:ascii="仿宋_GB2312" w:eastAsia="仿宋_GB2312"/>
          <w:sz w:val="32"/>
          <w:szCs w:val="32"/>
          <w:lang w:eastAsia="zh-CN"/>
        </w:rPr>
        <w:t>年初启动，分为四个阶段。</w:t>
      </w:r>
    </w:p>
    <w:p w14:paraId="5A1F926A">
      <w:pPr>
        <w:spacing w:line="360" w:lineRule="auto"/>
        <w:rPr>
          <w:rFonts w:hint="eastAsia" w:ascii="仿宋_GB2312" w:eastAsia="仿宋_GB2312"/>
          <w:sz w:val="32"/>
          <w:szCs w:val="32"/>
          <w:lang w:eastAsia="zh-CN"/>
        </w:rPr>
      </w:pPr>
      <w:r>
        <w:rPr>
          <w:rFonts w:hint="eastAsia" w:ascii="楷体" w:hAnsi="楷体" w:eastAsia="楷体" w:cs="Times New Roman"/>
          <w:b w:val="0"/>
          <w:bCs/>
          <w:color w:val="000000"/>
          <w:sz w:val="32"/>
          <w:szCs w:val="32"/>
          <w:lang w:val="en-US" w:eastAsia="zh-CN" w:bidi="ar-SA"/>
        </w:rPr>
        <w:t>（一）前期准备阶段。</w:t>
      </w:r>
      <w:r>
        <w:rPr>
          <w:rFonts w:hint="eastAsia" w:ascii="仿宋_GB2312" w:hAnsi="仿宋" w:eastAsia="仿宋_GB2312"/>
          <w:sz w:val="32"/>
          <w:lang w:eastAsia="zh-CN"/>
        </w:rPr>
        <w:t>组织开展</w:t>
      </w:r>
      <w:r>
        <w:rPr>
          <w:rFonts w:hint="eastAsia" w:ascii="仿宋_GB2312" w:hAnsi="仿宋" w:eastAsia="仿宋_GB2312"/>
          <w:sz w:val="32"/>
        </w:rPr>
        <w:t>《办法》的</w:t>
      </w:r>
      <w:r>
        <w:rPr>
          <w:rFonts w:hint="eastAsia" w:ascii="仿宋_GB2312" w:hAnsi="仿宋" w:eastAsia="仿宋_GB2312"/>
          <w:sz w:val="32"/>
          <w:lang w:eastAsia="zh-CN"/>
        </w:rPr>
        <w:t>适应性研究</w:t>
      </w:r>
      <w:r>
        <w:rPr>
          <w:rFonts w:hint="eastAsia" w:ascii="仿宋_GB2312" w:hAnsi="仿宋" w:eastAsia="仿宋_GB2312"/>
          <w:sz w:val="32"/>
        </w:rPr>
        <w:t>，通过向各省级自然资源主管部门发调研函，汇总梳理了基准站管理工作中遇到的实际问题，以及各地对</w:t>
      </w:r>
      <w:r>
        <w:rPr>
          <w:rFonts w:hint="eastAsia" w:ascii="仿宋_GB2312" w:eastAsia="仿宋_GB2312"/>
          <w:sz w:val="32"/>
          <w:lang w:val="en-US" w:eastAsia="zh-CN"/>
        </w:rPr>
        <w:t>4号文</w:t>
      </w:r>
      <w:r>
        <w:rPr>
          <w:rFonts w:hint="eastAsia" w:ascii="仿宋_GB2312" w:hAnsi="仿宋" w:eastAsia="仿宋_GB2312"/>
          <w:sz w:val="32"/>
        </w:rPr>
        <w:t>的修订建议和规范</w:t>
      </w:r>
      <w:r>
        <w:rPr>
          <w:rFonts w:hint="eastAsia" w:ascii="仿宋_GB2312" w:eastAsia="仿宋_GB2312"/>
          <w:sz w:val="32"/>
          <w:lang w:eastAsia="zh-CN"/>
        </w:rPr>
        <w:t>基准站</w:t>
      </w:r>
      <w:r>
        <w:rPr>
          <w:rFonts w:hint="eastAsia" w:ascii="仿宋_GB2312" w:hAnsi="仿宋" w:eastAsia="仿宋_GB2312"/>
          <w:sz w:val="32"/>
        </w:rPr>
        <w:t>管理的工作意见。</w:t>
      </w:r>
    </w:p>
    <w:p w14:paraId="7ECB8D51">
      <w:pPr>
        <w:spacing w:line="360" w:lineRule="auto"/>
        <w:rPr>
          <w:rFonts w:hint="eastAsia" w:ascii="仿宋_GB2312" w:hAnsi="仿宋" w:eastAsia="仿宋_GB2312"/>
          <w:sz w:val="32"/>
          <w:lang w:val="en-US" w:eastAsia="zh-CN"/>
        </w:rPr>
      </w:pPr>
      <w:r>
        <w:rPr>
          <w:rFonts w:hint="eastAsia" w:ascii="楷体" w:hAnsi="楷体" w:eastAsia="楷体" w:cs="Times New Roman"/>
          <w:b w:val="0"/>
          <w:bCs/>
          <w:color w:val="000000"/>
          <w:sz w:val="32"/>
          <w:szCs w:val="32"/>
          <w:lang w:val="en-US" w:eastAsia="zh-CN" w:bidi="ar-SA"/>
        </w:rPr>
        <w:t>（二）研究起草阶段。</w:t>
      </w:r>
      <w:r>
        <w:rPr>
          <w:rFonts w:hint="eastAsia" w:ascii="仿宋_GB2312" w:hAnsi="仿宋" w:eastAsia="仿宋_GB2312"/>
          <w:sz w:val="32"/>
          <w:lang w:eastAsia="zh-CN"/>
        </w:rPr>
        <w:t>组织</w:t>
      </w:r>
      <w:r>
        <w:rPr>
          <w:rFonts w:hint="eastAsia" w:ascii="仿宋_GB2312" w:hAnsi="仿宋" w:eastAsia="仿宋_GB2312"/>
          <w:sz w:val="32"/>
        </w:rPr>
        <w:t>国家基础地理信息中心等单位的相关人员组成了《办法》</w:t>
      </w:r>
      <w:r>
        <w:rPr>
          <w:rFonts w:hint="eastAsia" w:ascii="仿宋_GB2312" w:eastAsia="仿宋_GB2312"/>
          <w:sz w:val="32"/>
          <w:lang w:eastAsia="zh-CN"/>
        </w:rPr>
        <w:t>起草工作</w:t>
      </w:r>
      <w:r>
        <w:rPr>
          <w:rFonts w:hint="eastAsia" w:ascii="仿宋_GB2312" w:hAnsi="仿宋" w:eastAsia="仿宋_GB2312"/>
          <w:sz w:val="32"/>
        </w:rPr>
        <w:t>组。采用线上线下相结合的方式开展研讨，</w:t>
      </w:r>
      <w:r>
        <w:rPr>
          <w:rFonts w:hint="eastAsia" w:ascii="仿宋_GB2312" w:hAnsi="仿宋" w:eastAsia="仿宋_GB2312"/>
          <w:sz w:val="32"/>
          <w:lang w:eastAsia="zh-CN"/>
        </w:rPr>
        <w:t>广泛听取各地及有关方面意见建议，</w:t>
      </w:r>
      <w:r>
        <w:rPr>
          <w:rFonts w:hint="eastAsia" w:ascii="仿宋_GB2312" w:hAnsi="仿宋" w:eastAsia="仿宋_GB2312"/>
          <w:sz w:val="32"/>
        </w:rPr>
        <w:t>并与相关单位的管理和技术人员进行交流</w:t>
      </w:r>
      <w:r>
        <w:rPr>
          <w:rFonts w:hint="eastAsia" w:ascii="仿宋_GB2312" w:eastAsia="仿宋_GB2312"/>
          <w:sz w:val="32"/>
          <w:lang w:eastAsia="zh-CN"/>
        </w:rPr>
        <w:t>，</w:t>
      </w:r>
      <w:r>
        <w:rPr>
          <w:rFonts w:hint="eastAsia" w:ascii="仿宋_GB2312" w:hAnsi="仿宋" w:eastAsia="仿宋_GB2312"/>
          <w:sz w:val="32"/>
          <w:lang w:eastAsia="zh-CN"/>
        </w:rPr>
        <w:t>了解有关地方主要做法、推进情况和问题，</w:t>
      </w:r>
      <w:r>
        <w:rPr>
          <w:rFonts w:hint="eastAsia" w:ascii="仿宋_GB2312" w:hAnsi="仿宋" w:eastAsia="仿宋_GB2312"/>
          <w:sz w:val="32"/>
        </w:rPr>
        <w:t>根据《测绘法》等法律法规的相关规定，对</w:t>
      </w:r>
      <w:r>
        <w:rPr>
          <w:rFonts w:hint="eastAsia" w:ascii="仿宋_GB2312" w:eastAsia="仿宋_GB2312"/>
          <w:sz w:val="32"/>
          <w:lang w:val="en-US" w:eastAsia="zh-CN"/>
        </w:rPr>
        <w:t>4号文</w:t>
      </w:r>
      <w:r>
        <w:rPr>
          <w:rFonts w:hint="eastAsia" w:ascii="仿宋_GB2312" w:hAnsi="仿宋" w:eastAsia="仿宋_GB2312"/>
          <w:sz w:val="32"/>
        </w:rPr>
        <w:t>进行了修订，形成</w:t>
      </w:r>
      <w:r>
        <w:rPr>
          <w:rFonts w:hint="eastAsia" w:ascii="仿宋_GB2312" w:eastAsia="仿宋_GB2312"/>
          <w:sz w:val="32"/>
          <w:szCs w:val="32"/>
          <w:lang w:eastAsia="zh-CN"/>
        </w:rPr>
        <w:t>《办法（初稿）》</w:t>
      </w:r>
      <w:r>
        <w:rPr>
          <w:rFonts w:hint="eastAsia" w:ascii="仿宋_GB2312" w:hAnsi="仿宋" w:eastAsia="仿宋_GB2312"/>
          <w:sz w:val="32"/>
        </w:rPr>
        <w:t>。</w:t>
      </w:r>
    </w:p>
    <w:p w14:paraId="531774CA">
      <w:pPr>
        <w:spacing w:line="360" w:lineRule="auto"/>
        <w:rPr>
          <w:rFonts w:hint="eastAsia" w:ascii="仿宋_GB2312" w:hAnsi="仿宋" w:eastAsia="仿宋_GB2312"/>
          <w:sz w:val="32"/>
          <w:lang w:eastAsia="zh-CN"/>
        </w:rPr>
      </w:pPr>
      <w:r>
        <w:rPr>
          <w:rFonts w:hint="eastAsia" w:ascii="楷体" w:hAnsi="楷体" w:eastAsia="楷体" w:cs="Times New Roman"/>
          <w:b w:val="0"/>
          <w:bCs/>
          <w:color w:val="000000"/>
          <w:sz w:val="32"/>
          <w:szCs w:val="32"/>
          <w:lang w:val="en-US" w:eastAsia="zh-CN" w:bidi="ar-SA"/>
        </w:rPr>
        <w:t>（三）咨询修改阶段。</w:t>
      </w:r>
      <w:r>
        <w:rPr>
          <w:rFonts w:hint="eastAsia" w:ascii="仿宋_GB2312" w:hAnsi="仿宋" w:eastAsia="仿宋_GB2312"/>
          <w:sz w:val="32"/>
          <w:lang w:eastAsia="zh-CN"/>
        </w:rPr>
        <w:t>《</w:t>
      </w:r>
      <w:r>
        <w:rPr>
          <w:rFonts w:hint="eastAsia" w:ascii="仿宋_GB2312" w:eastAsia="仿宋_GB2312"/>
          <w:sz w:val="32"/>
          <w:lang w:eastAsia="zh-CN"/>
        </w:rPr>
        <w:t>办法</w:t>
      </w:r>
      <w:r>
        <w:rPr>
          <w:rFonts w:hint="eastAsia" w:ascii="仿宋_GB2312" w:hAnsi="仿宋" w:eastAsia="仿宋_GB2312"/>
          <w:sz w:val="32"/>
          <w:lang w:eastAsia="zh-CN"/>
        </w:rPr>
        <w:t>（初稿）》</w:t>
      </w:r>
      <w:r>
        <w:rPr>
          <w:rFonts w:hint="eastAsia" w:ascii="仿宋_GB2312" w:hAnsi="仿宋" w:eastAsia="仿宋_GB2312"/>
          <w:sz w:val="32"/>
          <w:lang w:val="en-US" w:eastAsia="zh-CN"/>
        </w:rPr>
        <w:t>形成后，</w:t>
      </w:r>
      <w:r>
        <w:rPr>
          <w:rFonts w:hint="eastAsia" w:ascii="仿宋_GB2312" w:eastAsia="仿宋_GB2312"/>
          <w:sz w:val="32"/>
          <w:lang w:val="en-US" w:eastAsia="zh-CN"/>
        </w:rPr>
        <w:t>开展了多轮次征求意见。2022年4-5月，第一轮</w:t>
      </w:r>
      <w:r>
        <w:rPr>
          <w:rFonts w:hint="eastAsia" w:ascii="仿宋_GB2312" w:hAnsi="仿宋" w:eastAsia="仿宋_GB2312"/>
          <w:sz w:val="32"/>
        </w:rPr>
        <w:t>向各省（区、市）自然资源主管部门、部相关派出机构以及新疆生产建设兵团自然资源局征求意见</w:t>
      </w:r>
      <w:r>
        <w:rPr>
          <w:rFonts w:hint="eastAsia" w:ascii="仿宋_GB2312" w:eastAsia="仿宋_GB2312"/>
          <w:sz w:val="32"/>
          <w:lang w:eastAsia="zh-CN"/>
        </w:rPr>
        <w:t>；</w:t>
      </w:r>
      <w:r>
        <w:rPr>
          <w:rFonts w:hint="eastAsia" w:ascii="仿宋_GB2312" w:hAnsi="仿宋" w:eastAsia="仿宋_GB2312"/>
          <w:sz w:val="32"/>
        </w:rPr>
        <w:t>2</w:t>
      </w:r>
      <w:r>
        <w:rPr>
          <w:rFonts w:ascii="仿宋_GB2312" w:hAnsi="仿宋" w:eastAsia="仿宋_GB2312"/>
          <w:sz w:val="32"/>
        </w:rPr>
        <w:t>022年</w:t>
      </w:r>
      <w:r>
        <w:rPr>
          <w:rFonts w:hint="eastAsia" w:ascii="仿宋_GB2312" w:hAnsi="仿宋" w:eastAsia="仿宋_GB2312"/>
          <w:sz w:val="32"/>
        </w:rPr>
        <w:t>8</w:t>
      </w:r>
      <w:r>
        <w:rPr>
          <w:rFonts w:hint="eastAsia" w:ascii="仿宋_GB2312" w:eastAsia="仿宋_GB2312"/>
          <w:sz w:val="32"/>
          <w:lang w:val="en-US" w:eastAsia="zh-CN"/>
        </w:rPr>
        <w:t>-</w:t>
      </w:r>
      <w:r>
        <w:rPr>
          <w:rFonts w:ascii="仿宋_GB2312" w:hAnsi="仿宋" w:eastAsia="仿宋_GB2312"/>
          <w:sz w:val="32"/>
        </w:rPr>
        <w:t>9</w:t>
      </w:r>
      <w:r>
        <w:rPr>
          <w:rFonts w:hint="eastAsia" w:ascii="仿宋_GB2312" w:hAnsi="仿宋" w:eastAsia="仿宋_GB2312"/>
          <w:sz w:val="32"/>
        </w:rPr>
        <w:t>月，通过实地调研、召开研讨会的方式</w:t>
      </w:r>
      <w:r>
        <w:rPr>
          <w:rFonts w:hint="eastAsia" w:ascii="仿宋_GB2312" w:eastAsia="仿宋_GB2312"/>
          <w:sz w:val="32"/>
          <w:lang w:eastAsia="zh-CN"/>
        </w:rPr>
        <w:t>，第二轮</w:t>
      </w:r>
      <w:r>
        <w:rPr>
          <w:rFonts w:hint="default" w:ascii="仿宋_GB2312" w:hAnsi="仿宋" w:eastAsia="仿宋_GB2312"/>
          <w:color w:val="000000"/>
          <w:sz w:val="32"/>
        </w:rPr>
        <w:t>向</w:t>
      </w:r>
      <w:r>
        <w:rPr>
          <w:rFonts w:hint="eastAsia" w:ascii="仿宋_GB2312" w:hAnsi="仿宋" w:eastAsia="仿宋_GB2312"/>
          <w:sz w:val="32"/>
          <w:lang w:val="en-US" w:eastAsia="zh-CN"/>
        </w:rPr>
        <w:t>8家</w:t>
      </w:r>
      <w:r>
        <w:rPr>
          <w:rFonts w:hint="eastAsia" w:ascii="仿宋_GB2312" w:hAnsi="仿宋" w:eastAsia="仿宋_GB2312"/>
          <w:sz w:val="32"/>
        </w:rPr>
        <w:t>国内</w:t>
      </w:r>
      <w:r>
        <w:rPr>
          <w:rFonts w:hint="eastAsia" w:ascii="仿宋_GB2312" w:eastAsia="仿宋_GB2312"/>
          <w:sz w:val="32"/>
          <w:lang w:eastAsia="zh-CN"/>
        </w:rPr>
        <w:t>从事</w:t>
      </w:r>
      <w:r>
        <w:rPr>
          <w:rFonts w:hint="eastAsia" w:ascii="仿宋_GB2312" w:hAnsi="仿宋" w:eastAsia="仿宋_GB2312"/>
          <w:sz w:val="32"/>
        </w:rPr>
        <w:t>基准站建设</w:t>
      </w:r>
      <w:r>
        <w:rPr>
          <w:rFonts w:hint="eastAsia" w:ascii="仿宋_GB2312" w:eastAsia="仿宋_GB2312"/>
          <w:sz w:val="32"/>
          <w:lang w:eastAsia="zh-CN"/>
        </w:rPr>
        <w:t>和服务</w:t>
      </w:r>
      <w:r>
        <w:rPr>
          <w:rFonts w:hint="eastAsia" w:ascii="仿宋_GB2312" w:hAnsi="仿宋" w:eastAsia="仿宋_GB2312"/>
          <w:sz w:val="32"/>
        </w:rPr>
        <w:t>的主要企业征求意见</w:t>
      </w:r>
      <w:r>
        <w:rPr>
          <w:rFonts w:hint="eastAsia" w:ascii="仿宋_GB2312" w:eastAsia="仿宋_GB2312"/>
          <w:sz w:val="32"/>
          <w:lang w:eastAsia="zh-CN"/>
        </w:rPr>
        <w:t>；</w:t>
      </w:r>
      <w:r>
        <w:rPr>
          <w:rFonts w:hint="eastAsia" w:ascii="仿宋_GB2312" w:hAnsi="仿宋" w:eastAsia="仿宋_GB2312"/>
          <w:sz w:val="32"/>
        </w:rPr>
        <w:t>2</w:t>
      </w:r>
      <w:r>
        <w:rPr>
          <w:rFonts w:ascii="仿宋_GB2312" w:hAnsi="仿宋" w:eastAsia="仿宋_GB2312"/>
          <w:sz w:val="32"/>
        </w:rPr>
        <w:t>022年</w:t>
      </w:r>
      <w:r>
        <w:rPr>
          <w:rFonts w:hint="eastAsia" w:ascii="仿宋_GB2312" w:hAnsi="仿宋" w:eastAsia="仿宋_GB2312"/>
          <w:sz w:val="32"/>
        </w:rPr>
        <w:t>1</w:t>
      </w:r>
      <w:r>
        <w:rPr>
          <w:rFonts w:ascii="仿宋_GB2312" w:hAnsi="仿宋" w:eastAsia="仿宋_GB2312"/>
          <w:sz w:val="32"/>
        </w:rPr>
        <w:t>1</w:t>
      </w:r>
      <w:r>
        <w:rPr>
          <w:rFonts w:hint="eastAsia" w:ascii="仿宋_GB2312" w:eastAsia="仿宋_GB2312"/>
          <w:sz w:val="32"/>
          <w:lang w:val="en-US" w:eastAsia="zh-CN"/>
        </w:rPr>
        <w:t>-</w:t>
      </w:r>
      <w:r>
        <w:rPr>
          <w:rFonts w:ascii="仿宋_GB2312" w:hAnsi="仿宋" w:eastAsia="仿宋_GB2312"/>
          <w:sz w:val="32"/>
        </w:rPr>
        <w:t>12月</w:t>
      </w:r>
      <w:r>
        <w:rPr>
          <w:rFonts w:hint="eastAsia" w:ascii="仿宋_GB2312" w:eastAsia="仿宋_GB2312"/>
          <w:sz w:val="32"/>
          <w:lang w:eastAsia="zh-CN"/>
        </w:rPr>
        <w:t>，第三轮</w:t>
      </w:r>
      <w:r>
        <w:rPr>
          <w:rFonts w:hint="eastAsia" w:ascii="仿宋_GB2312" w:hAnsi="仿宋" w:eastAsia="仿宋_GB2312"/>
          <w:sz w:val="32"/>
        </w:rPr>
        <w:t>向各省基准站管理和技术人员广泛征求意见</w:t>
      </w:r>
      <w:r>
        <w:rPr>
          <w:rFonts w:hint="eastAsia" w:ascii="仿宋_GB2312" w:eastAsia="仿宋_GB2312"/>
          <w:sz w:val="32"/>
          <w:lang w:eastAsia="zh-CN"/>
        </w:rPr>
        <w:t>；</w:t>
      </w:r>
      <w:r>
        <w:rPr>
          <w:rFonts w:hint="eastAsia" w:ascii="仿宋_GB2312" w:eastAsia="仿宋_GB2312"/>
          <w:sz w:val="32"/>
          <w:lang w:val="en-US" w:eastAsia="zh-CN"/>
        </w:rPr>
        <w:t>2023年2-8月，</w:t>
      </w:r>
      <w:r>
        <w:rPr>
          <w:rFonts w:hint="eastAsia" w:ascii="仿宋_GB2312" w:hAnsi="仿宋_GB2312" w:eastAsia="仿宋_GB2312" w:cs="仿宋_GB2312"/>
          <w:color w:val="000000"/>
          <w:kern w:val="0"/>
          <w:sz w:val="32"/>
          <w:szCs w:val="32"/>
          <w:lang w:val="en-US" w:eastAsia="zh-CN"/>
        </w:rPr>
        <w:t>在北京、陕西</w:t>
      </w:r>
      <w:r>
        <w:rPr>
          <w:rFonts w:hint="eastAsia" w:ascii="仿宋_GB2312" w:hAnsi="仿宋" w:eastAsia="仿宋_GB2312" w:cs="Times New Roman"/>
          <w:kern w:val="2"/>
          <w:sz w:val="32"/>
          <w:szCs w:val="22"/>
          <w:lang w:val="en-US" w:eastAsia="zh-CN"/>
        </w:rPr>
        <w:t>、江苏开展</w:t>
      </w:r>
      <w:r>
        <w:rPr>
          <w:rFonts w:hint="eastAsia" w:ascii="仿宋_GB2312" w:hAnsi="仿宋" w:eastAsia="仿宋_GB2312" w:cs="Times New Roman"/>
          <w:kern w:val="2"/>
          <w:sz w:val="32"/>
          <w:szCs w:val="22"/>
          <w:lang w:eastAsia="zh-CN"/>
        </w:rPr>
        <w:t>实地调研，与相关行政管理人员、业内知名专家以及企事业单位从业人员进行了专题座谈和研讨</w:t>
      </w:r>
      <w:r>
        <w:rPr>
          <w:rFonts w:hint="eastAsia" w:ascii="仿宋_GB2312" w:eastAsia="仿宋_GB2312" w:cs="Times New Roman"/>
          <w:kern w:val="2"/>
          <w:sz w:val="32"/>
          <w:szCs w:val="22"/>
          <w:lang w:eastAsia="zh-CN"/>
        </w:rPr>
        <w:t>；</w:t>
      </w:r>
      <w:r>
        <w:rPr>
          <w:rFonts w:hint="eastAsia" w:ascii="仿宋_GB2312" w:hAnsi="仿宋" w:eastAsia="仿宋_GB2312" w:cs="Times New Roman"/>
          <w:sz w:val="32"/>
          <w:szCs w:val="22"/>
        </w:rPr>
        <w:t>20</w:t>
      </w:r>
      <w:r>
        <w:rPr>
          <w:rFonts w:hint="eastAsia" w:ascii="仿宋_GB2312" w:hAnsi="仿宋" w:eastAsia="仿宋_GB2312" w:cs="Times New Roman"/>
          <w:sz w:val="32"/>
          <w:szCs w:val="22"/>
          <w:lang w:val="en"/>
        </w:rPr>
        <w:t>2</w:t>
      </w:r>
      <w:r>
        <w:rPr>
          <w:rFonts w:hint="eastAsia" w:ascii="仿宋_GB2312" w:hAnsi="仿宋" w:eastAsia="仿宋_GB2312" w:cs="Times New Roman"/>
          <w:sz w:val="32"/>
          <w:szCs w:val="22"/>
          <w:lang w:val="en-US" w:eastAsia="zh-CN"/>
        </w:rPr>
        <w:t>3</w:t>
      </w:r>
      <w:r>
        <w:rPr>
          <w:rFonts w:hint="eastAsia" w:ascii="仿宋_GB2312" w:hAnsi="仿宋" w:eastAsia="仿宋_GB2312" w:cs="Times New Roman"/>
          <w:sz w:val="32"/>
          <w:szCs w:val="22"/>
        </w:rPr>
        <w:t>年</w:t>
      </w:r>
      <w:r>
        <w:rPr>
          <w:rFonts w:hint="eastAsia" w:ascii="仿宋_GB2312" w:hAnsi="仿宋" w:eastAsia="仿宋_GB2312" w:cs="Times New Roman"/>
          <w:sz w:val="32"/>
          <w:szCs w:val="22"/>
          <w:lang w:val="en-US" w:eastAsia="zh-CN"/>
        </w:rPr>
        <w:t>10</w:t>
      </w:r>
      <w:r>
        <w:rPr>
          <w:rFonts w:hint="eastAsia" w:ascii="仿宋_GB2312" w:eastAsia="仿宋_GB2312" w:cs="Times New Roman"/>
          <w:sz w:val="32"/>
          <w:szCs w:val="22"/>
          <w:lang w:val="en-US" w:eastAsia="zh-CN"/>
        </w:rPr>
        <w:t>-</w:t>
      </w:r>
      <w:r>
        <w:rPr>
          <w:rFonts w:hint="eastAsia" w:ascii="仿宋_GB2312" w:hAnsi="仿宋" w:eastAsia="仿宋_GB2312" w:cs="Times New Roman"/>
          <w:sz w:val="32"/>
          <w:szCs w:val="22"/>
          <w:lang w:val="en"/>
        </w:rPr>
        <w:t>1</w:t>
      </w:r>
      <w:r>
        <w:rPr>
          <w:rFonts w:hint="eastAsia" w:ascii="仿宋_GB2312" w:hAnsi="仿宋" w:eastAsia="仿宋_GB2312" w:cs="Times New Roman"/>
          <w:sz w:val="32"/>
          <w:szCs w:val="22"/>
          <w:lang w:val="en-US" w:eastAsia="zh-CN"/>
        </w:rPr>
        <w:t>1</w:t>
      </w:r>
      <w:r>
        <w:rPr>
          <w:rFonts w:hint="eastAsia" w:ascii="仿宋_GB2312" w:hAnsi="仿宋" w:eastAsia="仿宋_GB2312" w:cs="Times New Roman"/>
          <w:sz w:val="32"/>
          <w:szCs w:val="22"/>
        </w:rPr>
        <w:t>月，</w:t>
      </w:r>
      <w:r>
        <w:rPr>
          <w:rFonts w:hint="eastAsia" w:ascii="仿宋_GB2312" w:hAnsi="仿宋" w:eastAsia="仿宋_GB2312" w:cs="Times New Roman"/>
          <w:sz w:val="32"/>
          <w:szCs w:val="22"/>
          <w:lang w:eastAsia="zh-CN"/>
        </w:rPr>
        <w:t>面向社会公开征求意见，同时定向征求了国务院有关部门</w:t>
      </w:r>
      <w:r>
        <w:rPr>
          <w:rFonts w:hint="eastAsia" w:ascii="仿宋_GB2312" w:eastAsia="仿宋_GB2312" w:cs="Times New Roman"/>
          <w:sz w:val="32"/>
          <w:szCs w:val="22"/>
          <w:lang w:eastAsia="zh-CN"/>
        </w:rPr>
        <w:t>、</w:t>
      </w:r>
      <w:r>
        <w:rPr>
          <w:rFonts w:hint="eastAsia" w:ascii="仿宋_GB2312" w:hAnsi="仿宋" w:eastAsia="仿宋_GB2312" w:cs="Times New Roman"/>
          <w:sz w:val="32"/>
          <w:szCs w:val="22"/>
          <w:lang w:eastAsia="zh-CN"/>
        </w:rPr>
        <w:t>有关</w:t>
      </w:r>
      <w:r>
        <w:rPr>
          <w:rFonts w:hint="eastAsia" w:ascii="仿宋_GB2312" w:hAnsi="仿宋_GB2312" w:eastAsia="仿宋_GB2312" w:cs="仿宋_GB2312"/>
          <w:sz w:val="32"/>
          <w:szCs w:val="32"/>
          <w:lang w:eastAsia="zh-CN"/>
        </w:rPr>
        <w:t>中央企业、各省级自然资源主管部门、部派出机构、相关司局和直属单位等</w:t>
      </w:r>
      <w:r>
        <w:rPr>
          <w:rFonts w:hint="eastAsia" w:ascii="仿宋_GB2312" w:hAnsi="仿宋_GB2312" w:eastAsia="仿宋_GB2312" w:cs="仿宋_GB2312"/>
          <w:sz w:val="32"/>
          <w:szCs w:val="32"/>
          <w:lang w:val="en-US" w:eastAsia="zh-CN"/>
        </w:rPr>
        <w:t>84家单位的意见，</w:t>
      </w:r>
      <w:r>
        <w:rPr>
          <w:rFonts w:hint="eastAsia" w:ascii="仿宋_GB2312" w:hAnsi="仿宋" w:eastAsia="仿宋_GB2312"/>
          <w:sz w:val="32"/>
          <w:lang w:eastAsia="zh-CN"/>
        </w:rPr>
        <w:t>根据</w:t>
      </w:r>
      <w:r>
        <w:rPr>
          <w:rFonts w:hint="eastAsia" w:ascii="仿宋_GB2312" w:eastAsia="仿宋_GB2312"/>
          <w:sz w:val="32"/>
          <w:lang w:eastAsia="zh-CN"/>
        </w:rPr>
        <w:t>各方</w:t>
      </w:r>
      <w:r>
        <w:rPr>
          <w:rFonts w:hint="eastAsia" w:ascii="仿宋_GB2312" w:hAnsi="仿宋" w:eastAsia="仿宋_GB2312"/>
          <w:sz w:val="32"/>
          <w:lang w:eastAsia="zh-CN"/>
        </w:rPr>
        <w:t>意见建议进一步修改完善。</w:t>
      </w:r>
    </w:p>
    <w:p w14:paraId="5564D941">
      <w:pPr>
        <w:spacing w:line="360" w:lineRule="auto"/>
        <w:ind w:firstLine="640" w:firstLineChars="200"/>
        <w:rPr>
          <w:rFonts w:hint="eastAsia" w:ascii="黑体" w:hAnsi="黑体" w:eastAsia="黑体" w:cs="黑体"/>
          <w:kern w:val="2"/>
          <w:sz w:val="32"/>
          <w:szCs w:val="32"/>
          <w:lang w:val="en-US" w:eastAsia="zh-CN"/>
        </w:rPr>
      </w:pPr>
      <w:r>
        <w:rPr>
          <w:rFonts w:hint="eastAsia" w:ascii="楷体" w:hAnsi="楷体" w:eastAsia="楷体" w:cs="Times New Roman"/>
          <w:b w:val="0"/>
          <w:bCs/>
          <w:color w:val="000000"/>
          <w:sz w:val="32"/>
          <w:szCs w:val="32"/>
          <w:lang w:val="en-US" w:eastAsia="zh-CN" w:bidi="ar-SA"/>
        </w:rPr>
        <w:t>（四）升格完善阶段。</w:t>
      </w:r>
      <w:r>
        <w:rPr>
          <w:rFonts w:hint="eastAsia" w:ascii="仿宋_GB2312" w:hAnsi="仿宋_GB2312" w:eastAsia="仿宋_GB2312" w:cs="仿宋_GB2312"/>
          <w:color w:val="000000"/>
          <w:kern w:val="0"/>
          <w:sz w:val="32"/>
          <w:szCs w:val="32"/>
          <w:lang w:val="en-US" w:eastAsia="zh-CN"/>
        </w:rPr>
        <w:t>2024年1-2月，提请法规司进行合法性审核。根据合法性审核意见，进一步修改完善，并通过合法性审核和公平竞争审查。2024年4-7月，按照王广华部长要求，将《办法》由规范性文件升格为部门规章，名称由原来的《卫星导航定位基准站建设备案办法》修改为《卫星导航定位基准站管理办法》，并进行了优化完善。7月25日-8月1日，</w:t>
      </w:r>
      <w:r>
        <w:rPr>
          <w:rFonts w:hint="eastAsia" w:ascii="仿宋_GB2312" w:hAnsi="仿宋_GB2312" w:eastAsia="仿宋_GB2312" w:cs="仿宋_GB2312"/>
          <w:color w:val="000000"/>
        </w:rPr>
        <w:t>向全国</w:t>
      </w:r>
      <w:r>
        <w:rPr>
          <w:rFonts w:hint="eastAsia" w:ascii="仿宋_GB2312" w:hAnsi="仿宋_GB2312" w:eastAsia="仿宋_GB2312" w:cs="仿宋_GB2312"/>
          <w:color w:val="000000"/>
          <w:lang w:eastAsia="zh-CN"/>
        </w:rPr>
        <w:t>各</w:t>
      </w:r>
      <w:r>
        <w:rPr>
          <w:rFonts w:hint="eastAsia" w:ascii="仿宋_GB2312" w:hAnsi="仿宋_GB2312" w:eastAsia="仿宋_GB2312" w:cs="仿宋_GB2312"/>
          <w:color w:val="000000"/>
        </w:rPr>
        <w:t>省级</w:t>
      </w:r>
      <w:r>
        <w:rPr>
          <w:rFonts w:hint="eastAsia" w:ascii="仿宋_GB2312" w:hAnsi="仿宋_GB2312" w:eastAsia="仿宋_GB2312" w:cs="仿宋_GB2312"/>
          <w:color w:val="000000"/>
          <w:lang w:eastAsia="zh-CN"/>
        </w:rPr>
        <w:t>自然资源</w:t>
      </w:r>
      <w:r>
        <w:rPr>
          <w:rFonts w:hint="eastAsia" w:ascii="仿宋_GB2312" w:hAnsi="仿宋_GB2312" w:eastAsia="仿宋_GB2312" w:cs="仿宋_GB2312"/>
          <w:color w:val="000000"/>
        </w:rPr>
        <w:t>主管部门</w:t>
      </w:r>
      <w:r>
        <w:rPr>
          <w:rFonts w:hint="eastAsia" w:ascii="仿宋_GB2312" w:hAnsi="仿宋_GB2312" w:eastAsia="仿宋_GB2312" w:cs="仿宋_GB2312"/>
          <w:color w:val="000000"/>
          <w:lang w:eastAsia="zh-CN"/>
        </w:rPr>
        <w:t>和部有关直属单位、派出机构</w:t>
      </w:r>
      <w:r>
        <w:rPr>
          <w:rFonts w:hint="eastAsia" w:ascii="仿宋_GB2312" w:hAnsi="仿宋_GB2312" w:eastAsia="仿宋_GB2312" w:cs="仿宋_GB2312"/>
          <w:color w:val="000000"/>
        </w:rPr>
        <w:t>征求意见建议，并根据相关意见建议</w:t>
      </w:r>
      <w:r>
        <w:rPr>
          <w:rFonts w:hint="eastAsia" w:ascii="仿宋_GB2312" w:hAnsi="仿宋_GB2312" w:eastAsia="仿宋_GB2312" w:cs="仿宋_GB2312"/>
          <w:color w:val="000000"/>
          <w:lang w:eastAsia="zh-CN"/>
        </w:rPr>
        <w:t>进一步</w:t>
      </w:r>
      <w:r>
        <w:rPr>
          <w:rFonts w:hint="eastAsia" w:ascii="仿宋_GB2312" w:hAnsi="仿宋_GB2312" w:eastAsia="仿宋_GB2312" w:cs="仿宋_GB2312"/>
          <w:color w:val="000000"/>
        </w:rPr>
        <w:t>修改完善，形成《</w:t>
      </w:r>
      <w:r>
        <w:rPr>
          <w:rFonts w:hint="eastAsia" w:ascii="仿宋_GB2312" w:hAnsi="仿宋_GB2312" w:eastAsia="仿宋_GB2312" w:cs="仿宋_GB2312"/>
          <w:color w:val="000000"/>
          <w:lang w:eastAsia="zh-CN"/>
        </w:rPr>
        <w:t>办法（征求意见稿）</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eastAsia="zh-CN"/>
        </w:rPr>
        <w:t>。</w:t>
      </w:r>
    </w:p>
    <w:p w14:paraId="082EDE10">
      <w:pPr>
        <w:adjustRightInd w:val="0"/>
        <w:snapToGrid/>
        <w:spacing w:line="240" w:lineRule="auto"/>
        <w:ind w:firstLine="640" w:firstLineChars="200"/>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三、主要内容</w:t>
      </w:r>
    </w:p>
    <w:p w14:paraId="3302B16C">
      <w:pPr>
        <w:keepNext w:val="0"/>
        <w:keepLines w:val="0"/>
        <w:pageBreakBefore w:val="0"/>
        <w:widowControl/>
        <w:kinsoku/>
        <w:wordWrap/>
        <w:overflowPunct/>
        <w:topLinePunct w:val="0"/>
        <w:autoSpaceDE/>
        <w:autoSpaceDN/>
        <w:bidi w:val="0"/>
        <w:adjustRightInd/>
        <w:snapToGrid w:val="0"/>
        <w:spacing w:line="360" w:lineRule="auto"/>
        <w:ind w:firstLine="641" w:firstLineChars="0"/>
        <w:textAlignment w:val="auto"/>
        <w:rPr>
          <w:rFonts w:hint="eastAsia" w:ascii="方正楷体_GBK" w:hAnsi="方正楷体_GBK" w:eastAsia="仿宋_GB2312" w:cs="方正楷体_GBK"/>
          <w:b/>
          <w:bCs/>
          <w:color w:val="auto"/>
          <w:sz w:val="32"/>
          <w:szCs w:val="22"/>
          <w:highlight w:val="none"/>
          <w:lang w:eastAsia="zh-CN"/>
        </w:rPr>
      </w:pPr>
      <w:r>
        <w:rPr>
          <w:rFonts w:hint="eastAsia" w:ascii="仿宋_GB2312" w:hAnsi="仿宋" w:eastAsia="仿宋_GB2312"/>
          <w:sz w:val="32"/>
        </w:rPr>
        <w:t>《办法》</w:t>
      </w:r>
      <w:r>
        <w:rPr>
          <w:rFonts w:hint="eastAsia" w:ascii="仿宋_GB2312" w:hAnsi="仿宋" w:eastAsia="仿宋_GB2312"/>
          <w:sz w:val="32"/>
          <w:highlight w:val="none"/>
        </w:rPr>
        <w:t>共</w:t>
      </w:r>
      <w:r>
        <w:rPr>
          <w:rFonts w:hint="eastAsia" w:ascii="仿宋_GB2312" w:hAnsi="仿宋" w:eastAsia="仿宋_GB2312"/>
          <w:sz w:val="32"/>
          <w:highlight w:val="none"/>
          <w:lang w:val="en-US" w:eastAsia="zh-CN"/>
        </w:rPr>
        <w:t>2</w:t>
      </w:r>
      <w:r>
        <w:rPr>
          <w:rFonts w:hint="eastAsia" w:ascii="仿宋_GB2312" w:eastAsia="仿宋_GB2312"/>
          <w:sz w:val="32"/>
          <w:highlight w:val="none"/>
          <w:lang w:val="en-US" w:eastAsia="zh-CN"/>
        </w:rPr>
        <w:t>2</w:t>
      </w:r>
      <w:r>
        <w:rPr>
          <w:rFonts w:hint="eastAsia" w:ascii="仿宋_GB2312" w:hAnsi="仿宋" w:eastAsia="仿宋_GB2312"/>
          <w:sz w:val="32"/>
          <w:highlight w:val="none"/>
        </w:rPr>
        <w:t>条，</w:t>
      </w:r>
      <w:r>
        <w:rPr>
          <w:rFonts w:hint="eastAsia" w:ascii="仿宋_GB2312" w:hAnsi="仿宋" w:eastAsia="仿宋_GB2312"/>
          <w:sz w:val="32"/>
        </w:rPr>
        <w:t>主要对</w:t>
      </w:r>
      <w:r>
        <w:rPr>
          <w:rFonts w:hint="eastAsia" w:ascii="仿宋_GB2312" w:eastAsia="仿宋_GB2312"/>
          <w:sz w:val="32"/>
          <w:lang w:eastAsia="zh-CN"/>
        </w:rPr>
        <w:t>建设原则</w:t>
      </w:r>
      <w:r>
        <w:rPr>
          <w:rFonts w:hint="eastAsia" w:ascii="仿宋_GB2312" w:hAnsi="仿宋" w:eastAsia="仿宋_GB2312"/>
          <w:sz w:val="32"/>
        </w:rPr>
        <w:t>、</w:t>
      </w:r>
      <w:r>
        <w:rPr>
          <w:rFonts w:hint="eastAsia" w:ascii="仿宋_GB2312" w:eastAsia="仿宋_GB2312"/>
          <w:sz w:val="32"/>
          <w:lang w:eastAsia="zh-CN"/>
        </w:rPr>
        <w:t>分类管理</w:t>
      </w:r>
      <w:r>
        <w:rPr>
          <w:rFonts w:hint="eastAsia" w:ascii="仿宋_GB2312" w:hAnsi="仿宋" w:eastAsia="仿宋_GB2312"/>
          <w:sz w:val="32"/>
        </w:rPr>
        <w:t>、</w:t>
      </w:r>
      <w:r>
        <w:rPr>
          <w:rFonts w:hint="eastAsia" w:ascii="仿宋_GB2312" w:eastAsia="仿宋_GB2312"/>
          <w:sz w:val="32"/>
          <w:lang w:eastAsia="zh-CN"/>
        </w:rPr>
        <w:t>测绘资质、安全要求、</w:t>
      </w:r>
      <w:r>
        <w:rPr>
          <w:rFonts w:hint="eastAsia" w:ascii="仿宋_GB2312" w:hAnsi="仿宋" w:eastAsia="仿宋_GB2312"/>
          <w:sz w:val="32"/>
        </w:rPr>
        <w:t>违规处理等进行了的明确</w:t>
      </w:r>
      <w:r>
        <w:rPr>
          <w:rFonts w:hint="eastAsia" w:ascii="仿宋_GB2312" w:eastAsia="仿宋_GB2312"/>
          <w:sz w:val="32"/>
          <w:lang w:eastAsia="zh-CN"/>
        </w:rPr>
        <w:t>规定</w:t>
      </w:r>
      <w:r>
        <w:rPr>
          <w:rFonts w:hint="eastAsia" w:ascii="仿宋_GB2312" w:hAnsi="仿宋" w:eastAsia="仿宋_GB2312"/>
          <w:sz w:val="32"/>
        </w:rPr>
        <w:t>，</w:t>
      </w:r>
      <w:r>
        <w:rPr>
          <w:rFonts w:hint="eastAsia" w:ascii="仿宋_GB2312" w:eastAsia="仿宋_GB2312"/>
          <w:sz w:val="32"/>
          <w:lang w:eastAsia="zh-CN"/>
        </w:rPr>
        <w:t>主要内容</w:t>
      </w:r>
      <w:r>
        <w:rPr>
          <w:rFonts w:hint="eastAsia" w:ascii="仿宋_GB2312" w:hAnsi="仿宋" w:eastAsia="仿宋_GB2312"/>
          <w:sz w:val="32"/>
          <w:lang w:eastAsia="zh-CN"/>
        </w:rPr>
        <w:t>如下。</w:t>
      </w:r>
    </w:p>
    <w:p w14:paraId="13B29F1C">
      <w:pPr>
        <w:keepNext w:val="0"/>
        <w:keepLines w:val="0"/>
        <w:pageBreakBefore w:val="0"/>
        <w:widowControl/>
        <w:kinsoku/>
        <w:wordWrap/>
        <w:overflowPunct/>
        <w:topLinePunct w:val="0"/>
        <w:autoSpaceDE/>
        <w:autoSpaceDN/>
        <w:bidi w:val="0"/>
        <w:adjustRightInd/>
        <w:snapToGrid w:val="0"/>
        <w:spacing w:line="360" w:lineRule="auto"/>
        <w:ind w:firstLine="641" w:firstLineChars="0"/>
        <w:textAlignment w:val="auto"/>
        <w:rPr>
          <w:rFonts w:hint="eastAsia" w:ascii="方正楷体_GBK" w:hAnsi="方正楷体_GBK" w:eastAsia="方正楷体_GBK" w:cs="方正楷体_GBK"/>
          <w:b w:val="0"/>
          <w:bCs w:val="0"/>
          <w:color w:val="auto"/>
          <w:sz w:val="32"/>
          <w:szCs w:val="22"/>
          <w:highlight w:val="none"/>
          <w:lang w:eastAsia="zh-CN"/>
        </w:rPr>
      </w:pPr>
      <w:r>
        <w:rPr>
          <w:rFonts w:hint="eastAsia" w:ascii="方正楷体_GBK" w:hAnsi="方正楷体_GBK" w:eastAsia="方正楷体_GBK" w:cs="方正楷体_GBK"/>
          <w:b w:val="0"/>
          <w:bCs w:val="0"/>
          <w:color w:val="auto"/>
          <w:sz w:val="32"/>
          <w:szCs w:val="22"/>
          <w:highlight w:val="none"/>
          <w:lang w:eastAsia="zh-CN"/>
        </w:rPr>
        <w:t>（一）明确了基准站先备案、再建设的原则</w:t>
      </w:r>
    </w:p>
    <w:p w14:paraId="0798A453">
      <w:pPr>
        <w:keepNext w:val="0"/>
        <w:keepLines w:val="0"/>
        <w:pageBreakBefore w:val="0"/>
        <w:widowControl/>
        <w:kinsoku/>
        <w:wordWrap/>
        <w:overflowPunct/>
        <w:topLinePunct w:val="0"/>
        <w:autoSpaceDE/>
        <w:autoSpaceDN/>
        <w:bidi w:val="0"/>
        <w:adjustRightInd/>
        <w:snapToGrid w:val="0"/>
        <w:spacing w:line="360" w:lineRule="auto"/>
        <w:ind w:firstLine="641"/>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lang w:val="en-US" w:eastAsia="zh-CN" w:bidi="ar"/>
        </w:rPr>
        <w:t>党的二十届三中全会《决定》中指出“</w:t>
      </w:r>
      <w:r>
        <w:rPr>
          <w:rFonts w:hint="eastAsia" w:ascii="黑体" w:hAnsi="黑体" w:eastAsia="黑体" w:cs="黑体"/>
          <w:kern w:val="2"/>
          <w:sz w:val="32"/>
          <w:szCs w:val="32"/>
          <w:lang w:val="en-US" w:eastAsia="zh-CN"/>
        </w:rPr>
        <w:t>建设和运营国家数据基础设施，促进数据共享</w:t>
      </w:r>
      <w:r>
        <w:rPr>
          <w:rFonts w:hint="eastAsia" w:ascii="仿宋_GB2312" w:hAnsi="仿宋_GB2312" w:eastAsia="仿宋_GB2312" w:cs="仿宋_GB2312"/>
          <w:kern w:val="2"/>
          <w:sz w:val="32"/>
          <w:szCs w:val="32"/>
          <w:lang w:val="en-US" w:eastAsia="zh-CN" w:bidi="ar"/>
        </w:rPr>
        <w:t>”。基准站是重要的国家空间地理基础设施，生产导航定位数据等产品。《</w:t>
      </w:r>
      <w:r>
        <w:rPr>
          <w:rFonts w:hint="eastAsia" w:ascii="仿宋_GB2312" w:hAnsi="仿宋_GB2312" w:eastAsia="仿宋_GB2312" w:cs="仿宋_GB2312"/>
          <w:color w:val="auto"/>
          <w:kern w:val="2"/>
          <w:sz w:val="32"/>
          <w:szCs w:val="32"/>
          <w:highlight w:val="none"/>
          <w:lang w:val="en-US" w:eastAsia="zh-CN" w:bidi="ar"/>
        </w:rPr>
        <w:t>测绘法》设立</w:t>
      </w:r>
      <w:r>
        <w:rPr>
          <w:rFonts w:hint="eastAsia" w:ascii="仿宋_GB2312" w:hAnsi="仿宋_GB2312" w:eastAsia="仿宋_GB2312" w:cs="仿宋_GB2312"/>
          <w:color w:val="auto"/>
          <w:kern w:val="2"/>
          <w:sz w:val="32"/>
          <w:szCs w:val="32"/>
          <w:highlight w:val="none"/>
          <w:lang w:val="en" w:eastAsia="zh-CN" w:bidi="ar"/>
        </w:rPr>
        <w:t>基准站建设备案</w:t>
      </w:r>
      <w:r>
        <w:rPr>
          <w:rFonts w:hint="eastAsia" w:ascii="仿宋_GB2312" w:hAnsi="仿宋_GB2312" w:eastAsia="仿宋_GB2312" w:cs="仿宋_GB2312"/>
          <w:color w:val="auto"/>
          <w:kern w:val="2"/>
          <w:sz w:val="32"/>
          <w:szCs w:val="32"/>
          <w:highlight w:val="none"/>
          <w:lang w:val="en-US" w:eastAsia="zh-CN" w:bidi="ar"/>
        </w:rPr>
        <w:t>的目的是掌握建设服务情况、促进资源共享、保障国家地理信息安全，避免各地各单位无序建设基准站和资源浪费。为此，</w:t>
      </w:r>
      <w:r>
        <w:rPr>
          <w:rFonts w:hint="eastAsia" w:ascii="仿宋_GB2312" w:hAnsi="仿宋_GB2312" w:eastAsia="仿宋_GB2312" w:cs="仿宋_GB2312"/>
          <w:b w:val="0"/>
          <w:bCs w:val="0"/>
          <w:sz w:val="32"/>
          <w:szCs w:val="40"/>
        </w:rPr>
        <w:t>基准站建设和服务应当坚持</w:t>
      </w:r>
      <w:r>
        <w:rPr>
          <w:rFonts w:hint="eastAsia" w:ascii="黑体" w:hAnsi="黑体" w:eastAsia="黑体" w:cs="黑体"/>
          <w:kern w:val="2"/>
          <w:sz w:val="32"/>
          <w:szCs w:val="32"/>
          <w:lang w:val="en-US" w:eastAsia="zh-CN"/>
        </w:rPr>
        <w:t>统筹建设、资源共享</w:t>
      </w:r>
      <w:r>
        <w:rPr>
          <w:rFonts w:hint="eastAsia" w:ascii="仿宋_GB2312" w:hAnsi="仿宋_GB2312" w:eastAsia="仿宋_GB2312" w:cs="仿宋_GB2312"/>
          <w:b w:val="0"/>
          <w:bCs w:val="0"/>
          <w:sz w:val="32"/>
          <w:szCs w:val="40"/>
        </w:rPr>
        <w:t>的原则</w:t>
      </w:r>
      <w:r>
        <w:rPr>
          <w:rFonts w:hint="eastAsia" w:ascii="仿宋_GB2312" w:hAnsi="仿宋_GB2312" w:eastAsia="仿宋_GB2312" w:cs="仿宋_GB2312"/>
          <w:b w:val="0"/>
          <w:bCs w:val="0"/>
          <w:sz w:val="32"/>
          <w:szCs w:val="40"/>
          <w:lang w:eastAsia="zh-CN"/>
        </w:rPr>
        <w:t>（第四条）</w:t>
      </w:r>
      <w:r>
        <w:rPr>
          <w:rFonts w:hint="eastAsia" w:ascii="仿宋_GB2312" w:hAnsi="仿宋_GB2312" w:eastAsia="仿宋_GB2312" w:cs="仿宋_GB2312"/>
          <w:b w:val="0"/>
          <w:bCs w:val="0"/>
          <w:sz w:val="32"/>
          <w:szCs w:val="40"/>
          <w:lang w:val="en-US" w:eastAsia="zh-CN"/>
        </w:rPr>
        <w:t>,</w:t>
      </w:r>
      <w:r>
        <w:rPr>
          <w:rFonts w:hint="eastAsia" w:ascii="仿宋_GB2312" w:hAnsi="仿宋" w:eastAsia="仿宋_GB2312"/>
          <w:sz w:val="32"/>
          <w:highlight w:val="none"/>
          <w:lang w:val="en-US" w:eastAsia="zh-CN"/>
        </w:rPr>
        <w:t>基准站</w:t>
      </w:r>
      <w:r>
        <w:rPr>
          <w:rFonts w:hint="eastAsia" w:ascii="仿宋_GB2312" w:eastAsia="仿宋_GB2312"/>
          <w:sz w:val="32"/>
          <w:highlight w:val="none"/>
          <w:lang w:val="en-US" w:eastAsia="zh-CN"/>
        </w:rPr>
        <w:t>及其数据中心实行</w:t>
      </w:r>
      <w:r>
        <w:rPr>
          <w:rFonts w:hint="eastAsia" w:ascii="黑体" w:hAnsi="黑体" w:eastAsia="黑体" w:cs="黑体"/>
          <w:kern w:val="2"/>
          <w:sz w:val="32"/>
          <w:szCs w:val="32"/>
          <w:lang w:val="en-US" w:eastAsia="zh-CN"/>
        </w:rPr>
        <w:t>先备案、再建设</w:t>
      </w:r>
      <w:r>
        <w:rPr>
          <w:rFonts w:hint="eastAsia" w:ascii="仿宋_GB2312" w:eastAsia="仿宋_GB2312"/>
          <w:sz w:val="32"/>
          <w:highlight w:val="none"/>
          <w:lang w:val="en-US" w:eastAsia="zh-CN"/>
        </w:rPr>
        <w:t>（第九条），</w:t>
      </w:r>
      <w:r>
        <w:rPr>
          <w:rFonts w:ascii="仿宋_GB2312" w:eastAsia="仿宋_GB2312"/>
          <w:b w:val="0"/>
          <w:bCs/>
          <w:color w:val="000000"/>
          <w:kern w:val="0"/>
          <w:sz w:val="32"/>
          <w:szCs w:val="18"/>
          <w:highlight w:val="none"/>
        </w:rPr>
        <w:t>备案人应当在基准站</w:t>
      </w:r>
      <w:r>
        <w:rPr>
          <w:rFonts w:hint="eastAsia" w:ascii="仿宋_GB2312" w:eastAsia="仿宋_GB2312"/>
          <w:b w:val="0"/>
          <w:bCs/>
          <w:color w:val="000000"/>
          <w:kern w:val="0"/>
          <w:sz w:val="32"/>
          <w:szCs w:val="18"/>
          <w:highlight w:val="none"/>
          <w:lang w:eastAsia="zh-CN"/>
        </w:rPr>
        <w:t>开工</w:t>
      </w:r>
      <w:r>
        <w:rPr>
          <w:rFonts w:ascii="仿宋_GB2312" w:eastAsia="仿宋_GB2312"/>
          <w:b w:val="0"/>
          <w:bCs/>
          <w:color w:val="000000"/>
          <w:kern w:val="0"/>
          <w:sz w:val="32"/>
          <w:szCs w:val="18"/>
          <w:highlight w:val="none"/>
        </w:rPr>
        <w:t>建设</w:t>
      </w:r>
      <w:r>
        <w:rPr>
          <w:rFonts w:hint="eastAsia" w:ascii="仿宋_GB2312" w:hAnsi="仿宋_GB2312" w:eastAsia="仿宋_GB2312" w:cs="仿宋_GB2312"/>
          <w:b w:val="0"/>
          <w:bCs w:val="0"/>
          <w:sz w:val="32"/>
          <w:szCs w:val="40"/>
          <w:lang w:val="en-US" w:eastAsia="zh-CN"/>
        </w:rPr>
        <w:t>20</w:t>
      </w:r>
      <w:r>
        <w:rPr>
          <w:rFonts w:hint="eastAsia" w:ascii="仿宋_GB2312" w:hAnsi="仿宋_GB2312" w:eastAsia="仿宋_GB2312" w:cs="仿宋_GB2312"/>
          <w:b w:val="0"/>
          <w:bCs w:val="0"/>
          <w:sz w:val="32"/>
          <w:szCs w:val="40"/>
        </w:rPr>
        <w:t>个</w:t>
      </w:r>
      <w:r>
        <w:rPr>
          <w:rFonts w:hint="eastAsia" w:ascii="仿宋_GB2312" w:hAnsi="仿宋_GB2312" w:eastAsia="仿宋_GB2312" w:cs="仿宋_GB2312"/>
          <w:b w:val="0"/>
          <w:bCs w:val="0"/>
          <w:sz w:val="32"/>
          <w:szCs w:val="40"/>
          <w:lang w:val="en-US" w:eastAsia="zh-CN"/>
        </w:rPr>
        <w:t>工作</w:t>
      </w:r>
      <w:r>
        <w:rPr>
          <w:rFonts w:hint="eastAsia" w:ascii="仿宋_GB2312" w:hAnsi="仿宋_GB2312" w:eastAsia="仿宋_GB2312" w:cs="仿宋_GB2312"/>
          <w:b w:val="0"/>
          <w:bCs w:val="0"/>
          <w:sz w:val="32"/>
          <w:szCs w:val="40"/>
        </w:rPr>
        <w:t>日前</w:t>
      </w:r>
      <w:r>
        <w:rPr>
          <w:rFonts w:hint="eastAsia" w:ascii="仿宋_GB2312" w:eastAsia="仿宋_GB2312"/>
          <w:b w:val="0"/>
          <w:bCs/>
          <w:color w:val="000000"/>
          <w:kern w:val="0"/>
          <w:sz w:val="32"/>
          <w:szCs w:val="18"/>
          <w:highlight w:val="none"/>
        </w:rPr>
        <w:t>，通过备案管理系统</w:t>
      </w:r>
      <w:r>
        <w:rPr>
          <w:rFonts w:hint="eastAsia" w:ascii="仿宋_GB2312" w:eastAsia="仿宋_GB2312"/>
          <w:b w:val="0"/>
          <w:bCs/>
          <w:color w:val="000000"/>
          <w:kern w:val="0"/>
          <w:sz w:val="32"/>
          <w:szCs w:val="18"/>
          <w:highlight w:val="none"/>
          <w:lang w:eastAsia="zh-CN"/>
        </w:rPr>
        <w:t>向</w:t>
      </w:r>
      <w:r>
        <w:rPr>
          <w:rFonts w:hint="eastAsia" w:ascii="仿宋_GB2312" w:hAnsi="仿宋_GB2312" w:eastAsia="仿宋_GB2312" w:cs="仿宋_GB2312"/>
          <w:b w:val="0"/>
          <w:bCs w:val="0"/>
          <w:sz w:val="32"/>
          <w:szCs w:val="40"/>
        </w:rPr>
        <w:t>省级以上自然资源主管部门</w:t>
      </w:r>
      <w:r>
        <w:rPr>
          <w:rFonts w:hint="eastAsia" w:ascii="仿宋_GB2312" w:eastAsia="仿宋_GB2312"/>
          <w:b w:val="0"/>
          <w:bCs/>
          <w:color w:val="000000"/>
          <w:kern w:val="0"/>
          <w:sz w:val="32"/>
          <w:szCs w:val="18"/>
          <w:highlight w:val="none"/>
          <w:lang w:eastAsia="zh-CN"/>
        </w:rPr>
        <w:t>备案（第十四条）。有利于全面掌握基准站建设情况，</w:t>
      </w:r>
      <w:r>
        <w:rPr>
          <w:rFonts w:hint="eastAsia" w:ascii="仿宋_GB2312" w:eastAsia="仿宋_GB2312"/>
          <w:sz w:val="32"/>
          <w:highlight w:val="none"/>
          <w:lang w:val="en-US" w:eastAsia="zh-CN"/>
        </w:rPr>
        <w:t>推动已有站点进行数据共享利用，避免</w:t>
      </w:r>
      <w:r>
        <w:rPr>
          <w:rFonts w:hint="eastAsia" w:ascii="仿宋_GB2312" w:hAnsi="仿宋_GB2312" w:eastAsia="仿宋_GB2312" w:cs="仿宋_GB2312"/>
          <w:color w:val="auto"/>
          <w:kern w:val="2"/>
          <w:sz w:val="32"/>
          <w:szCs w:val="32"/>
          <w:highlight w:val="none"/>
          <w:lang w:val="en-US" w:eastAsia="zh-CN" w:bidi="ar"/>
        </w:rPr>
        <w:t>重复建设</w:t>
      </w:r>
      <w:r>
        <w:rPr>
          <w:rFonts w:hint="eastAsia" w:ascii="仿宋_GB2312" w:eastAsia="仿宋_GB2312"/>
          <w:sz w:val="32"/>
          <w:highlight w:val="none"/>
          <w:lang w:val="en-US" w:eastAsia="zh-CN"/>
        </w:rPr>
        <w:t>。</w:t>
      </w:r>
    </w:p>
    <w:p w14:paraId="6947ECB5">
      <w:pPr>
        <w:keepNext w:val="0"/>
        <w:keepLines w:val="0"/>
        <w:pageBreakBefore w:val="0"/>
        <w:widowControl/>
        <w:kinsoku/>
        <w:wordWrap/>
        <w:overflowPunct/>
        <w:topLinePunct w:val="0"/>
        <w:autoSpaceDE/>
        <w:autoSpaceDN/>
        <w:bidi w:val="0"/>
        <w:adjustRightInd/>
        <w:snapToGrid w:val="0"/>
        <w:spacing w:line="360" w:lineRule="auto"/>
        <w:ind w:firstLine="641" w:firstLineChars="0"/>
        <w:textAlignment w:val="auto"/>
        <w:rPr>
          <w:rFonts w:hint="eastAsia" w:ascii="方正楷体_GBK" w:hAnsi="方正楷体_GBK" w:eastAsia="方正楷体_GBK" w:cs="方正楷体_GBK"/>
          <w:b w:val="0"/>
          <w:bCs w:val="0"/>
          <w:color w:val="auto"/>
          <w:sz w:val="32"/>
          <w:szCs w:val="22"/>
          <w:highlight w:val="none"/>
          <w:lang w:eastAsia="zh-CN"/>
        </w:rPr>
      </w:pPr>
      <w:r>
        <w:rPr>
          <w:rFonts w:hint="eastAsia" w:ascii="方正楷体_GBK" w:hAnsi="方正楷体_GBK" w:eastAsia="方正楷体_GBK" w:cs="方正楷体_GBK"/>
          <w:b w:val="0"/>
          <w:bCs w:val="0"/>
          <w:color w:val="auto"/>
          <w:sz w:val="32"/>
          <w:szCs w:val="22"/>
          <w:highlight w:val="none"/>
          <w:lang w:eastAsia="zh-CN"/>
        </w:rPr>
        <w:t>（二）明确了基准站</w:t>
      </w:r>
      <w:r>
        <w:rPr>
          <w:rFonts w:hint="default" w:ascii="方正楷体_GBK" w:hAnsi="方正楷体_GBK" w:eastAsia="方正楷体_GBK" w:cs="方正楷体_GBK"/>
          <w:b w:val="0"/>
          <w:bCs w:val="0"/>
          <w:color w:val="000000"/>
          <w:sz w:val="32"/>
          <w:szCs w:val="22"/>
          <w:highlight w:val="none"/>
          <w:lang/>
        </w:rPr>
        <w:t>按</w:t>
      </w:r>
      <w:r>
        <w:rPr>
          <w:rFonts w:hint="eastAsia" w:ascii="方正楷体_GBK" w:hAnsi="方正楷体_GBK" w:eastAsia="方正楷体_GBK" w:cs="方正楷体_GBK"/>
          <w:b w:val="0"/>
          <w:bCs w:val="0"/>
          <w:color w:val="auto"/>
          <w:sz w:val="32"/>
          <w:szCs w:val="22"/>
          <w:highlight w:val="none"/>
          <w:lang w:eastAsia="zh-CN"/>
        </w:rPr>
        <w:t>测绘基准服务和其他社会服务进行分类管理</w:t>
      </w:r>
    </w:p>
    <w:p w14:paraId="7EE13539">
      <w:pPr>
        <w:keepNext w:val="0"/>
        <w:keepLines w:val="0"/>
        <w:pageBreakBefore w:val="0"/>
        <w:widowControl/>
        <w:kinsoku/>
        <w:wordWrap/>
        <w:overflowPunct/>
        <w:topLinePunct w:val="0"/>
        <w:autoSpaceDE/>
        <w:autoSpaceDN/>
        <w:bidi w:val="0"/>
        <w:adjustRightInd/>
        <w:snapToGrid w:val="0"/>
        <w:spacing w:line="360" w:lineRule="auto"/>
        <w:ind w:firstLine="641" w:firstLineChars="0"/>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建立和管理国家测绘基准、测绘系统是自然资源部的重要职责，《测绘法》明确要求测绘地理信息主管部门要会同其他部门“</w:t>
      </w:r>
      <w:r>
        <w:rPr>
          <w:rFonts w:hint="eastAsia" w:ascii="黑体" w:hAnsi="黑体" w:eastAsia="黑体" w:cs="黑体"/>
          <w:kern w:val="2"/>
          <w:sz w:val="32"/>
          <w:szCs w:val="32"/>
          <w:lang w:val="en-US" w:eastAsia="zh-CN"/>
        </w:rPr>
        <w:t>建立统一的卫星导航定位基准服务系统，提供导航定位基准信息公共服务</w:t>
      </w:r>
      <w:r>
        <w:rPr>
          <w:rFonts w:hint="eastAsia" w:ascii="仿宋_GB2312" w:hAnsi="仿宋_GB2312" w:eastAsia="仿宋_GB2312" w:cs="仿宋_GB2312"/>
          <w:color w:val="auto"/>
          <w:kern w:val="2"/>
          <w:sz w:val="32"/>
          <w:szCs w:val="32"/>
          <w:highlight w:val="none"/>
          <w:lang w:val="en-US" w:eastAsia="zh-CN" w:bidi="ar"/>
        </w:rPr>
        <w:t>”。基准站建设和服务与测绘基准密切相关，基准站提供高精度位置服务必须保障其测绘基准起</w:t>
      </w:r>
      <w:r>
        <w:rPr>
          <w:rFonts w:hint="default" w:ascii="仿宋_GB2312" w:hAnsi="仿宋_GB2312" w:eastAsia="仿宋_GB2312" w:cs="仿宋_GB2312"/>
          <w:color w:val="000000"/>
          <w:kern w:val="2"/>
          <w:sz w:val="32"/>
          <w:szCs w:val="32"/>
          <w:highlight w:val="none"/>
          <w:lang w:bidi="ar"/>
        </w:rPr>
        <w:t>算</w:t>
      </w:r>
      <w:r>
        <w:rPr>
          <w:rFonts w:hint="eastAsia" w:ascii="仿宋_GB2312" w:hAnsi="仿宋_GB2312" w:eastAsia="仿宋_GB2312" w:cs="仿宋_GB2312"/>
          <w:color w:val="auto"/>
          <w:kern w:val="2"/>
          <w:sz w:val="32"/>
          <w:szCs w:val="32"/>
          <w:highlight w:val="none"/>
          <w:lang w:val="en-US" w:eastAsia="zh-CN" w:bidi="ar"/>
        </w:rPr>
        <w:t>溯源的一致性。为此，</w:t>
      </w:r>
      <w:r>
        <w:rPr>
          <w:rFonts w:hint="eastAsia" w:ascii="仿宋_GB2312" w:eastAsia="仿宋_GB2312"/>
          <w:sz w:val="32"/>
          <w:szCs w:val="32"/>
          <w:lang w:val="en-US" w:eastAsia="zh-CN"/>
        </w:rPr>
        <w:t>《办法》</w:t>
      </w:r>
      <w:r>
        <w:rPr>
          <w:rFonts w:hint="eastAsia" w:ascii="仿宋_GB2312" w:hAnsi="仿宋_GB2312" w:eastAsia="仿宋_GB2312" w:cs="仿宋_GB2312"/>
          <w:color w:val="auto"/>
          <w:kern w:val="2"/>
          <w:sz w:val="32"/>
          <w:szCs w:val="32"/>
          <w:highlight w:val="none"/>
          <w:lang w:val="en-US" w:eastAsia="zh-CN" w:bidi="ar"/>
        </w:rPr>
        <w:t>中</w:t>
      </w:r>
      <w:r>
        <w:rPr>
          <w:rFonts w:hint="eastAsia" w:ascii="仿宋_GB2312" w:hAnsi="仿宋_GB2312" w:eastAsia="仿宋_GB2312" w:cs="仿宋_GB2312"/>
          <w:b w:val="0"/>
          <w:bCs w:val="0"/>
          <w:sz w:val="32"/>
          <w:szCs w:val="40"/>
        </w:rPr>
        <w:t>按照测绘基准服务和</w:t>
      </w:r>
      <w:r>
        <w:rPr>
          <w:rFonts w:hint="eastAsia" w:ascii="仿宋_GB2312" w:hAnsi="仿宋_GB2312" w:eastAsia="仿宋_GB2312" w:cs="仿宋_GB2312"/>
          <w:b w:val="0"/>
          <w:bCs w:val="0"/>
          <w:sz w:val="32"/>
          <w:szCs w:val="40"/>
          <w:lang w:eastAsia="zh-CN"/>
        </w:rPr>
        <w:t>其他</w:t>
      </w:r>
      <w:r>
        <w:rPr>
          <w:rFonts w:hint="eastAsia" w:ascii="仿宋_GB2312" w:hAnsi="仿宋_GB2312" w:eastAsia="仿宋_GB2312" w:cs="仿宋_GB2312"/>
          <w:b w:val="0"/>
          <w:bCs w:val="0"/>
          <w:sz w:val="32"/>
          <w:szCs w:val="40"/>
        </w:rPr>
        <w:t>社会服务</w:t>
      </w:r>
      <w:r>
        <w:rPr>
          <w:rFonts w:hint="eastAsia" w:ascii="仿宋_GB2312" w:hAnsi="仿宋_GB2312" w:eastAsia="仿宋_GB2312" w:cs="仿宋_GB2312"/>
          <w:b w:val="0"/>
          <w:bCs w:val="0"/>
          <w:sz w:val="32"/>
          <w:szCs w:val="40"/>
          <w:lang w:eastAsia="zh-CN"/>
        </w:rPr>
        <w:t>对</w:t>
      </w:r>
      <w:r>
        <w:rPr>
          <w:rFonts w:hint="eastAsia" w:ascii="仿宋_GB2312" w:hAnsi="仿宋_GB2312" w:eastAsia="仿宋_GB2312" w:cs="仿宋_GB2312"/>
          <w:color w:val="auto"/>
          <w:kern w:val="2"/>
          <w:sz w:val="32"/>
          <w:szCs w:val="32"/>
          <w:highlight w:val="none"/>
          <w:lang w:val="en-US" w:eastAsia="zh-CN" w:bidi="ar"/>
        </w:rPr>
        <w:t>基准站</w:t>
      </w:r>
      <w:r>
        <w:rPr>
          <w:rFonts w:hint="eastAsia" w:ascii="仿宋_GB2312" w:hAnsi="仿宋_GB2312" w:eastAsia="仿宋_GB2312" w:cs="仿宋_GB2312"/>
          <w:b w:val="0"/>
          <w:bCs w:val="0"/>
          <w:sz w:val="32"/>
          <w:szCs w:val="40"/>
        </w:rPr>
        <w:t>进行分类管理</w:t>
      </w:r>
      <w:r>
        <w:rPr>
          <w:rFonts w:hint="eastAsia" w:ascii="仿宋_GB2312" w:hAnsi="仿宋_GB2312" w:eastAsia="仿宋_GB2312" w:cs="仿宋_GB2312"/>
          <w:b w:val="0"/>
          <w:bCs w:val="0"/>
          <w:sz w:val="32"/>
          <w:szCs w:val="40"/>
          <w:lang w:eastAsia="zh-CN"/>
        </w:rPr>
        <w:t>，明确</w:t>
      </w:r>
      <w:r>
        <w:rPr>
          <w:rFonts w:hint="eastAsia" w:ascii="仿宋_GB2312" w:hAnsi="仿宋_GB2312" w:eastAsia="仿宋_GB2312" w:cs="仿宋_GB2312"/>
          <w:b w:val="0"/>
          <w:bCs w:val="0"/>
          <w:sz w:val="32"/>
          <w:szCs w:val="40"/>
        </w:rPr>
        <w:t>国务院自然资源主管部门</w:t>
      </w:r>
      <w:r>
        <w:rPr>
          <w:rFonts w:hint="eastAsia" w:ascii="仿宋_GB2312" w:hAnsi="仿宋_GB2312" w:eastAsia="仿宋_GB2312" w:cs="仿宋_GB2312"/>
          <w:b w:val="0"/>
          <w:bCs w:val="0"/>
          <w:sz w:val="32"/>
          <w:szCs w:val="40"/>
          <w:lang w:eastAsia="zh-CN"/>
        </w:rPr>
        <w:t>负责建立国家统一的测绘基准，</w:t>
      </w:r>
      <w:r>
        <w:rPr>
          <w:rFonts w:hint="eastAsia" w:ascii="仿宋_GB2312" w:hAnsi="仿宋_GB2312" w:eastAsia="仿宋_GB2312" w:cs="仿宋_GB2312"/>
          <w:b w:val="0"/>
          <w:bCs w:val="0"/>
          <w:sz w:val="32"/>
          <w:szCs w:val="40"/>
        </w:rPr>
        <w:t>省级以上自然资源主管部门</w:t>
      </w:r>
      <w:r>
        <w:rPr>
          <w:rFonts w:hint="eastAsia" w:ascii="仿宋_GB2312" w:hAnsi="仿宋_GB2312" w:eastAsia="仿宋_GB2312" w:cs="仿宋_GB2312"/>
          <w:b w:val="0"/>
          <w:bCs w:val="0"/>
          <w:color w:val="auto"/>
          <w:sz w:val="32"/>
          <w:szCs w:val="40"/>
          <w:lang w:eastAsia="zh-CN"/>
        </w:rPr>
        <w:t>负责</w:t>
      </w:r>
      <w:r>
        <w:rPr>
          <w:rFonts w:hint="eastAsia" w:ascii="仿宋_GB2312" w:hAnsi="仿宋_GB2312" w:eastAsia="仿宋_GB2312" w:cs="仿宋_GB2312"/>
          <w:b w:val="0"/>
          <w:bCs w:val="0"/>
          <w:sz w:val="32"/>
          <w:szCs w:val="40"/>
        </w:rPr>
        <w:t>提供</w:t>
      </w:r>
      <w:r>
        <w:rPr>
          <w:rFonts w:hint="eastAsia" w:ascii="仿宋_GB2312" w:hAnsi="仿宋_GB2312" w:eastAsia="仿宋_GB2312" w:cs="仿宋_GB2312"/>
          <w:b w:val="0"/>
          <w:bCs w:val="0"/>
          <w:sz w:val="32"/>
          <w:szCs w:val="40"/>
          <w:lang w:eastAsia="zh-CN"/>
        </w:rPr>
        <w:t>国家统一的</w:t>
      </w:r>
      <w:r>
        <w:rPr>
          <w:rFonts w:hint="eastAsia" w:ascii="仿宋_GB2312" w:hAnsi="仿宋_GB2312" w:eastAsia="仿宋_GB2312" w:cs="仿宋_GB2312"/>
          <w:b w:val="0"/>
          <w:bCs w:val="0"/>
          <w:sz w:val="32"/>
          <w:szCs w:val="40"/>
        </w:rPr>
        <w:t>测绘基准服务</w:t>
      </w:r>
      <w:r>
        <w:rPr>
          <w:rFonts w:hint="eastAsia" w:ascii="仿宋_GB2312" w:hAnsi="仿宋_GB2312" w:eastAsia="仿宋_GB2312" w:cs="仿宋_GB2312"/>
          <w:b w:val="0"/>
          <w:bCs w:val="0"/>
          <w:sz w:val="32"/>
          <w:szCs w:val="40"/>
          <w:lang w:eastAsia="zh-CN"/>
        </w:rPr>
        <w:t>，其他</w:t>
      </w:r>
      <w:r>
        <w:rPr>
          <w:rFonts w:hint="eastAsia" w:ascii="仿宋_GB2312" w:hAnsi="仿宋_GB2312" w:eastAsia="仿宋_GB2312" w:cs="仿宋_GB2312"/>
          <w:b w:val="0"/>
          <w:bCs w:val="0"/>
          <w:sz w:val="32"/>
          <w:szCs w:val="40"/>
        </w:rPr>
        <w:t>单位</w:t>
      </w:r>
      <w:r>
        <w:rPr>
          <w:rFonts w:hint="eastAsia" w:ascii="仿宋_GB2312" w:hAnsi="仿宋_GB2312" w:eastAsia="仿宋_GB2312" w:cs="仿宋_GB2312"/>
          <w:b w:val="0"/>
          <w:bCs w:val="0"/>
          <w:sz w:val="32"/>
          <w:szCs w:val="40"/>
          <w:lang w:eastAsia="zh-CN"/>
        </w:rPr>
        <w:t>和</w:t>
      </w:r>
      <w:r>
        <w:rPr>
          <w:rFonts w:hint="eastAsia" w:ascii="仿宋_GB2312" w:hAnsi="仿宋_GB2312" w:eastAsia="仿宋_GB2312" w:cs="仿宋_GB2312"/>
          <w:b w:val="0"/>
          <w:bCs w:val="0"/>
          <w:sz w:val="32"/>
          <w:szCs w:val="40"/>
        </w:rPr>
        <w:t>社会机构</w:t>
      </w:r>
      <w:r>
        <w:rPr>
          <w:rFonts w:hint="eastAsia" w:ascii="仿宋_GB2312" w:hAnsi="仿宋_GB2312" w:eastAsia="仿宋_GB2312" w:cs="仿宋_GB2312"/>
          <w:b w:val="0"/>
          <w:bCs w:val="0"/>
          <w:sz w:val="32"/>
          <w:szCs w:val="40"/>
          <w:lang w:eastAsia="zh-CN"/>
        </w:rPr>
        <w:t>只能提供其他</w:t>
      </w:r>
      <w:r>
        <w:rPr>
          <w:rFonts w:hint="eastAsia" w:ascii="仿宋_GB2312" w:hAnsi="仿宋_GB2312" w:eastAsia="仿宋_GB2312" w:cs="仿宋_GB2312"/>
          <w:b w:val="0"/>
          <w:bCs w:val="0"/>
          <w:sz w:val="32"/>
          <w:szCs w:val="40"/>
        </w:rPr>
        <w:t>社会服务</w:t>
      </w:r>
      <w:r>
        <w:rPr>
          <w:rFonts w:hint="eastAsia" w:ascii="仿宋_GB2312" w:hAnsi="仿宋_GB2312" w:eastAsia="仿宋_GB2312" w:cs="仿宋_GB2312"/>
          <w:b w:val="0"/>
          <w:bCs w:val="0"/>
          <w:sz w:val="32"/>
          <w:szCs w:val="40"/>
          <w:lang w:eastAsia="zh-CN"/>
        </w:rPr>
        <w:t>，并</w:t>
      </w:r>
      <w:r>
        <w:rPr>
          <w:rFonts w:hint="eastAsia" w:ascii="仿宋_GB2312" w:hAnsi="仿宋_GB2312" w:eastAsia="仿宋_GB2312" w:cs="仿宋_GB2312"/>
          <w:b w:val="0"/>
          <w:bCs w:val="0"/>
          <w:color w:val="auto"/>
          <w:sz w:val="32"/>
          <w:szCs w:val="40"/>
          <w:lang w:eastAsia="zh-CN"/>
        </w:rPr>
        <w:t>应当以</w:t>
      </w:r>
      <w:r>
        <w:rPr>
          <w:rFonts w:hint="eastAsia" w:ascii="仿宋_GB2312" w:hAnsi="仿宋_GB2312" w:eastAsia="仿宋_GB2312" w:cs="仿宋_GB2312"/>
          <w:b w:val="0"/>
          <w:bCs w:val="0"/>
          <w:sz w:val="32"/>
          <w:szCs w:val="40"/>
          <w:lang w:eastAsia="zh-CN"/>
        </w:rPr>
        <w:t>国家统一的</w:t>
      </w:r>
      <w:r>
        <w:rPr>
          <w:rFonts w:hint="eastAsia" w:ascii="仿宋_GB2312" w:hAnsi="仿宋_GB2312" w:eastAsia="仿宋_GB2312" w:cs="仿宋_GB2312"/>
          <w:b w:val="0"/>
          <w:bCs w:val="0"/>
          <w:color w:val="auto"/>
          <w:sz w:val="32"/>
          <w:szCs w:val="40"/>
          <w:highlight w:val="none"/>
          <w:lang w:eastAsia="zh-CN"/>
        </w:rPr>
        <w:t>测绘基准为起算依据（第六条）</w:t>
      </w:r>
      <w:r>
        <w:rPr>
          <w:rFonts w:hint="eastAsia" w:ascii="仿宋_GB2312" w:hAnsi="仿宋_GB2312" w:eastAsia="仿宋_GB2312" w:cs="仿宋_GB2312"/>
          <w:b w:val="0"/>
          <w:bCs w:val="0"/>
          <w:sz w:val="32"/>
          <w:szCs w:val="40"/>
          <w:lang w:eastAsia="zh-CN"/>
        </w:rPr>
        <w:t>。</w:t>
      </w:r>
    </w:p>
    <w:p w14:paraId="48A6B992">
      <w:pPr>
        <w:keepNext w:val="0"/>
        <w:keepLines w:val="0"/>
        <w:pageBreakBefore w:val="0"/>
        <w:widowControl/>
        <w:kinsoku/>
        <w:wordWrap/>
        <w:overflowPunct/>
        <w:topLinePunct w:val="0"/>
        <w:autoSpaceDE/>
        <w:autoSpaceDN/>
        <w:bidi w:val="0"/>
        <w:adjustRightInd/>
        <w:snapToGrid w:val="0"/>
        <w:spacing w:line="360" w:lineRule="auto"/>
        <w:ind w:firstLine="641"/>
        <w:textAlignment w:val="auto"/>
        <w:rPr>
          <w:rFonts w:hint="eastAsia" w:ascii="方正楷体_GBK" w:hAnsi="方正楷体_GBK" w:eastAsia="方正楷体_GBK" w:cs="方正楷体_GBK"/>
          <w:b w:val="0"/>
          <w:bCs w:val="0"/>
          <w:color w:val="auto"/>
          <w:sz w:val="32"/>
          <w:highlight w:val="none"/>
          <w:lang w:eastAsia="zh-CN"/>
        </w:rPr>
      </w:pPr>
      <w:r>
        <w:rPr>
          <w:rFonts w:hint="eastAsia" w:ascii="方正楷体_GBK" w:hAnsi="方正楷体_GBK" w:eastAsia="方正楷体_GBK" w:cs="方正楷体_GBK"/>
          <w:b w:val="0"/>
          <w:bCs w:val="0"/>
          <w:color w:val="auto"/>
          <w:sz w:val="32"/>
          <w:highlight w:val="none"/>
          <w:lang w:eastAsia="zh-CN"/>
        </w:rPr>
        <w:t>（三）强化了基准站监督管理并明确了违规处罚措施</w:t>
      </w:r>
    </w:p>
    <w:p w14:paraId="09D2DE67">
      <w:pPr>
        <w:keepNext w:val="0"/>
        <w:keepLines w:val="0"/>
        <w:pageBreakBefore w:val="0"/>
        <w:widowControl/>
        <w:kinsoku/>
        <w:wordWrap/>
        <w:overflowPunct/>
        <w:topLinePunct w:val="0"/>
        <w:autoSpaceDE/>
        <w:autoSpaceDN/>
        <w:bidi w:val="0"/>
        <w:adjustRightInd/>
        <w:snapToGrid w:val="0"/>
        <w:spacing w:line="360" w:lineRule="auto"/>
        <w:ind w:firstLine="641" w:firstLineChars="0"/>
        <w:textAlignment w:val="auto"/>
        <w:rPr>
          <w:rFonts w:hint="eastAsia" w:ascii="仿宋_GB2312" w:hAnsi="仿宋_GB2312" w:eastAsia="仿宋_GB2312" w:cs="仿宋_GB2312"/>
          <w:color w:val="000000"/>
          <w:kern w:val="0"/>
          <w:sz w:val="32"/>
          <w:szCs w:val="32"/>
          <w:lang w:val="en" w:eastAsia="zh-CN"/>
        </w:rPr>
      </w:pPr>
      <w:r>
        <w:rPr>
          <w:rFonts w:hint="eastAsia" w:ascii="仿宋_GB2312" w:hAnsi="仿宋_GB2312" w:eastAsia="仿宋_GB2312" w:cs="仿宋_GB2312"/>
          <w:b w:val="0"/>
          <w:bCs w:val="0"/>
          <w:kern w:val="2"/>
          <w:sz w:val="32"/>
          <w:szCs w:val="32"/>
          <w:lang w:eastAsia="zh-CN" w:bidi="ar"/>
        </w:rPr>
        <w:t>基准站涉及国家地理信息安全，必须要采取措施进行监督管理。《测绘法》规定“</w:t>
      </w:r>
      <w:r>
        <w:rPr>
          <w:rFonts w:hint="eastAsia" w:ascii="黑体" w:hAnsi="黑体" w:eastAsia="黑体" w:cs="黑体"/>
          <w:kern w:val="2"/>
          <w:sz w:val="32"/>
          <w:szCs w:val="32"/>
          <w:lang w:val="en-US" w:eastAsia="zh-CN"/>
        </w:rPr>
        <w:t>县级以上</w:t>
      </w:r>
      <w:r>
        <w:rPr>
          <w:rFonts w:hint="eastAsia" w:ascii="仿宋_GB2312" w:hAnsi="仿宋_GB2312" w:eastAsia="仿宋_GB2312" w:cs="仿宋_GB2312"/>
          <w:kern w:val="2"/>
          <w:sz w:val="32"/>
          <w:szCs w:val="32"/>
          <w:lang w:val="en-US" w:eastAsia="zh-CN" w:bidi="ar"/>
        </w:rPr>
        <w:t>人民政府测绘地理信息主管部门应当会同本级人民政府其他有关部门，</w:t>
      </w:r>
      <w:r>
        <w:rPr>
          <w:rFonts w:hint="eastAsia" w:ascii="黑体" w:hAnsi="黑体" w:eastAsia="黑体" w:cs="黑体"/>
          <w:kern w:val="2"/>
          <w:sz w:val="32"/>
          <w:szCs w:val="32"/>
          <w:lang w:val="en-US" w:eastAsia="zh-CN"/>
        </w:rPr>
        <w:t>加强对卫星导航定位基准站建设和运行维护的规范和指导</w:t>
      </w:r>
      <w:r>
        <w:rPr>
          <w:rFonts w:hint="eastAsia" w:ascii="仿宋_GB2312" w:hAnsi="仿宋_GB2312" w:eastAsia="仿宋_GB2312" w:cs="仿宋_GB2312"/>
          <w:kern w:val="2"/>
          <w:sz w:val="32"/>
          <w:szCs w:val="32"/>
          <w:lang w:val="en-US" w:eastAsia="zh-CN" w:bidi="ar"/>
        </w:rPr>
        <w:t>”，为此，</w:t>
      </w:r>
      <w:r>
        <w:rPr>
          <w:rFonts w:hint="eastAsia" w:ascii="仿宋_GB2312" w:hAnsi="仿宋_GB2312" w:eastAsia="仿宋_GB2312" w:cs="仿宋_GB2312"/>
          <w:b w:val="0"/>
          <w:bCs w:val="0"/>
          <w:sz w:val="32"/>
          <w:szCs w:val="40"/>
        </w:rPr>
        <w:t>县级以上自然资源主管部门应当加强对本行政区域内基准站的监督管理，采取书面审查、随机抽查、实地核查等方式，</w:t>
      </w:r>
      <w:r>
        <w:rPr>
          <w:rFonts w:hint="eastAsia" w:ascii="仿宋_GB2312" w:hAnsi="仿宋_GB2312" w:eastAsia="仿宋_GB2312" w:cs="仿宋_GB2312"/>
          <w:b w:val="0"/>
          <w:bCs w:val="0"/>
          <w:sz w:val="32"/>
          <w:szCs w:val="40"/>
          <w:lang w:eastAsia="zh-CN"/>
        </w:rPr>
        <w:t>对备案信息一致性、标准要求符合性、数据安全、非法建设等进行监督管理（第十七条），并依据</w:t>
      </w:r>
      <w:r>
        <w:rPr>
          <w:rFonts w:hint="eastAsia" w:ascii="仿宋_GB2312" w:hAnsi="仿宋" w:eastAsia="仿宋_GB2312"/>
          <w:color w:val="auto"/>
          <w:sz w:val="32"/>
          <w:lang w:val="en-US" w:eastAsia="zh-CN"/>
        </w:rPr>
        <w:t>《测绘法》《数据安全法》等法律法规</w:t>
      </w:r>
      <w:r>
        <w:rPr>
          <w:rFonts w:hint="eastAsia" w:ascii="仿宋_GB2312" w:eastAsia="仿宋_GB2312"/>
          <w:color w:val="auto"/>
          <w:sz w:val="32"/>
          <w:lang w:val="en-US" w:eastAsia="zh-CN"/>
        </w:rPr>
        <w:t>，</w:t>
      </w:r>
      <w:r>
        <w:rPr>
          <w:rFonts w:hint="eastAsia" w:ascii="仿宋_GB2312" w:hAnsi="仿宋" w:eastAsia="仿宋_GB2312"/>
          <w:color w:val="auto"/>
          <w:sz w:val="32"/>
          <w:lang w:val="en-US" w:eastAsia="zh-CN"/>
        </w:rPr>
        <w:t>对违反法律法规有关规定的情形给出明确的处罚措施</w:t>
      </w:r>
      <w:r>
        <w:rPr>
          <w:rFonts w:hint="eastAsia" w:ascii="仿宋_GB2312" w:eastAsia="仿宋_GB2312"/>
          <w:color w:val="auto"/>
          <w:sz w:val="32"/>
          <w:lang w:val="en-US" w:eastAsia="zh-CN"/>
        </w:rPr>
        <w:t>（第十八条、第十九条），</w:t>
      </w:r>
      <w:r>
        <w:rPr>
          <w:rFonts w:hint="eastAsia" w:ascii="仿宋_GB2312" w:hAnsi="Times New Roman" w:eastAsia="仿宋_GB2312" w:cs="Times New Roman"/>
          <w:b w:val="0"/>
          <w:bCs w:val="0"/>
          <w:color w:val="000000"/>
          <w:kern w:val="0"/>
          <w:sz w:val="32"/>
          <w:szCs w:val="18"/>
        </w:rPr>
        <w:t>将违法违规行为纳入测绘单位信用记录</w:t>
      </w:r>
      <w:r>
        <w:rPr>
          <w:rFonts w:hint="eastAsia" w:ascii="仿宋_GB2312" w:hAnsi="Times New Roman" w:eastAsia="仿宋_GB2312" w:cs="Times New Roman"/>
          <w:b w:val="0"/>
          <w:bCs w:val="0"/>
          <w:color w:val="000000"/>
          <w:kern w:val="0"/>
          <w:sz w:val="32"/>
          <w:szCs w:val="18"/>
          <w:lang w:eastAsia="zh-CN"/>
        </w:rPr>
        <w:t>（第二十一条），</w:t>
      </w:r>
      <w:r>
        <w:rPr>
          <w:rFonts w:hint="eastAsia" w:ascii="仿宋_GB2312" w:hAnsi="仿宋_GB2312" w:eastAsia="仿宋_GB2312" w:cs="仿宋_GB2312"/>
          <w:color w:val="000000"/>
          <w:kern w:val="0"/>
          <w:sz w:val="32"/>
          <w:szCs w:val="32"/>
          <w:lang w:val="en-US" w:eastAsia="zh-CN"/>
        </w:rPr>
        <w:t>着力解决</w:t>
      </w:r>
      <w:r>
        <w:rPr>
          <w:rFonts w:hint="default" w:ascii="仿宋_GB2312" w:hAnsi="仿宋_GB2312" w:eastAsia="仿宋_GB2312" w:cs="仿宋_GB2312"/>
          <w:color w:val="000000"/>
          <w:kern w:val="2"/>
          <w:sz w:val="32"/>
          <w:szCs w:val="32"/>
          <w:lang w:bidi="ar"/>
        </w:rPr>
        <w:t>建</w:t>
      </w:r>
      <w:r>
        <w:rPr>
          <w:rFonts w:hint="eastAsia" w:ascii="仿宋_GB2312" w:hAnsi="仿宋_GB2312" w:eastAsia="仿宋_GB2312" w:cs="仿宋_GB2312"/>
          <w:kern w:val="2"/>
          <w:sz w:val="32"/>
          <w:szCs w:val="32"/>
          <w:lang w:val="en-US" w:eastAsia="zh-CN" w:bidi="ar"/>
        </w:rPr>
        <w:t>前备案不充分、建后监管不到位、测绘基准起算不规范</w:t>
      </w:r>
      <w:r>
        <w:rPr>
          <w:rFonts w:hint="eastAsia" w:ascii="仿宋_GB2312" w:hAnsi="仿宋_GB2312" w:eastAsia="仿宋_GB2312" w:cs="仿宋_GB2312"/>
          <w:color w:val="000000"/>
          <w:kern w:val="0"/>
          <w:sz w:val="32"/>
          <w:szCs w:val="32"/>
          <w:lang w:val="en-US" w:eastAsia="zh-CN"/>
        </w:rPr>
        <w:t>的问题，形成</w:t>
      </w:r>
      <w:r>
        <w:rPr>
          <w:rFonts w:hint="eastAsia" w:ascii="仿宋_GB2312" w:hAnsi="仿宋_GB2312" w:eastAsia="仿宋_GB2312" w:cs="仿宋_GB2312"/>
          <w:color w:val="000000"/>
          <w:kern w:val="0"/>
          <w:sz w:val="32"/>
          <w:szCs w:val="32"/>
          <w:lang w:val="en" w:eastAsia="zh-CN"/>
        </w:rPr>
        <w:t>基准站管理闭环。</w:t>
      </w:r>
    </w:p>
    <w:p w14:paraId="29EE1A93">
      <w:pPr>
        <w:keepNext w:val="0"/>
        <w:keepLines w:val="0"/>
        <w:pageBreakBefore w:val="0"/>
        <w:widowControl/>
        <w:kinsoku/>
        <w:wordWrap/>
        <w:overflowPunct/>
        <w:topLinePunct w:val="0"/>
        <w:autoSpaceDE/>
        <w:autoSpaceDN/>
        <w:bidi w:val="0"/>
        <w:adjustRightInd/>
        <w:snapToGrid w:val="0"/>
        <w:spacing w:line="360" w:lineRule="auto"/>
        <w:ind w:firstLine="641" w:firstLineChars="0"/>
        <w:textAlignment w:val="auto"/>
        <w:rPr>
          <w:rFonts w:hint="eastAsia" w:ascii="方正楷体_GBK" w:hAnsi="方正楷体_GBK" w:eastAsia="方正楷体_GBK" w:cs="方正楷体_GBK"/>
          <w:b w:val="0"/>
          <w:bCs w:val="0"/>
          <w:color w:val="auto"/>
          <w:sz w:val="32"/>
          <w:szCs w:val="22"/>
          <w:highlight w:val="none"/>
          <w:lang w:eastAsia="zh-CN"/>
        </w:rPr>
      </w:pPr>
      <w:r>
        <w:rPr>
          <w:rFonts w:hint="eastAsia" w:ascii="方正楷体_GBK" w:hAnsi="方正楷体_GBK" w:eastAsia="方正楷体_GBK" w:cs="方正楷体_GBK"/>
          <w:b w:val="0"/>
          <w:bCs w:val="0"/>
          <w:color w:val="auto"/>
          <w:sz w:val="32"/>
          <w:szCs w:val="22"/>
          <w:highlight w:val="none"/>
          <w:lang w:eastAsia="zh-CN"/>
        </w:rPr>
        <w:t>（四）明确或优化的其他事项</w:t>
      </w:r>
    </w:p>
    <w:p w14:paraId="74B04A01">
      <w:pPr>
        <w:ind w:firstLine="640" w:firstLineChars="200"/>
        <w:rPr>
          <w:rFonts w:hint="eastAsia" w:ascii="仿宋_GB2312" w:hAnsi="仿宋" w:eastAsia="仿宋_GB2312"/>
          <w:sz w:val="32"/>
          <w:lang w:val="en-US" w:eastAsia="zh-CN"/>
        </w:rPr>
      </w:pPr>
      <w:r>
        <w:rPr>
          <w:rFonts w:hint="eastAsia" w:ascii="黑体" w:hAnsi="黑体" w:eastAsia="黑体" w:cs="黑体"/>
          <w:b w:val="0"/>
          <w:bCs w:val="0"/>
          <w:kern w:val="2"/>
          <w:sz w:val="32"/>
          <w:szCs w:val="32"/>
          <w:lang w:val="en-US" w:eastAsia="zh-CN"/>
        </w:rPr>
        <w:t>一是</w:t>
      </w:r>
      <w:r>
        <w:rPr>
          <w:rFonts w:hint="eastAsia" w:ascii="仿宋_GB2312" w:eastAsia="仿宋_GB2312"/>
          <w:color w:val="auto"/>
          <w:sz w:val="32"/>
          <w:highlight w:val="none"/>
          <w:lang w:val="en-US" w:eastAsia="zh-CN"/>
        </w:rPr>
        <w:t>明确了基准站和数据中心的关系。《测绘法》规定“</w:t>
      </w:r>
      <w:r>
        <w:rPr>
          <w:rFonts w:hint="eastAsia" w:ascii="黑体" w:hAnsi="黑体" w:eastAsia="黑体" w:cs="黑体"/>
          <w:kern w:val="2"/>
          <w:sz w:val="32"/>
          <w:szCs w:val="32"/>
          <w:lang w:val="en-US" w:eastAsia="zh-CN"/>
        </w:rPr>
        <w:t>卫星导航定位</w:t>
      </w:r>
      <w:r>
        <w:rPr>
          <w:rFonts w:hint="eastAsia" w:ascii="黑体" w:hAnsi="黑体" w:eastAsia="黑体" w:cs="黑体"/>
          <w:b w:val="0"/>
          <w:bCs w:val="0"/>
          <w:kern w:val="2"/>
          <w:sz w:val="32"/>
          <w:szCs w:val="32"/>
          <w:lang w:val="en-US" w:eastAsia="zh-CN"/>
        </w:rPr>
        <w:t>基</w:t>
      </w:r>
      <w:r>
        <w:rPr>
          <w:rFonts w:hint="eastAsia" w:ascii="黑体" w:hAnsi="黑体" w:eastAsia="黑体" w:cs="黑体"/>
          <w:kern w:val="2"/>
          <w:sz w:val="32"/>
          <w:szCs w:val="32"/>
          <w:lang w:val="en-US" w:eastAsia="zh-CN"/>
        </w:rPr>
        <w:t>准站，是指对卫星导航信号进行长期连续观测，并通过通信设施将观测数据实时或者定时传送至数据中心的地面固定观测站</w:t>
      </w:r>
      <w:r>
        <w:rPr>
          <w:rFonts w:hint="eastAsia" w:ascii="仿宋_GB2312" w:eastAsia="仿宋_GB2312"/>
          <w:color w:val="auto"/>
          <w:sz w:val="32"/>
          <w:highlight w:val="none"/>
          <w:lang w:val="en-US" w:eastAsia="zh-CN"/>
        </w:rPr>
        <w:t>”，但未对数据中心的定义以及与基准站的关系进行规定。为此，</w:t>
      </w:r>
      <w:r>
        <w:rPr>
          <w:rFonts w:hint="eastAsia" w:ascii="仿宋_GB2312" w:eastAsia="仿宋_GB2312"/>
          <w:sz w:val="32"/>
          <w:szCs w:val="32"/>
          <w:lang w:val="en-US" w:eastAsia="zh-CN"/>
        </w:rPr>
        <w:t>《办法》</w:t>
      </w:r>
      <w:r>
        <w:rPr>
          <w:rFonts w:hint="eastAsia" w:ascii="仿宋_GB2312" w:eastAsia="仿宋_GB2312"/>
          <w:color w:val="auto"/>
          <w:sz w:val="32"/>
          <w:highlight w:val="none"/>
          <w:lang w:val="en-US" w:eastAsia="zh-CN"/>
        </w:rPr>
        <w:t>对其进行了细化，给出了基准站数据中心的定义，并明确基准站数据中心是卫星导航定位基准站的组成部分（第二条）。这样有利于将近年来出现的“不建基准站、</w:t>
      </w:r>
      <w:r>
        <w:rPr>
          <w:rFonts w:hint="default" w:ascii="仿宋_GB2312" w:eastAsia="仿宋_GB2312"/>
          <w:color w:val="000000"/>
          <w:sz w:val="32"/>
          <w:highlight w:val="none"/>
          <w:lang/>
        </w:rPr>
        <w:t>只</w:t>
      </w:r>
      <w:r>
        <w:rPr>
          <w:rFonts w:hint="eastAsia" w:ascii="仿宋_GB2312" w:eastAsia="仿宋_GB2312"/>
          <w:color w:val="auto"/>
          <w:sz w:val="32"/>
          <w:highlight w:val="none"/>
          <w:lang w:val="en-US" w:eastAsia="zh-CN"/>
        </w:rPr>
        <w:t>建数据中心”的模式纳入管理范围，使之走向正轨，进而可促进基准站数据和产品的共享利用。</w:t>
      </w:r>
      <w:r>
        <w:rPr>
          <w:rFonts w:hint="eastAsia" w:ascii="黑体" w:hAnsi="黑体" w:eastAsia="黑体" w:cs="黑体"/>
          <w:b w:val="0"/>
          <w:bCs w:val="0"/>
          <w:kern w:val="2"/>
          <w:sz w:val="32"/>
          <w:szCs w:val="32"/>
          <w:lang w:val="en-US" w:eastAsia="zh-CN"/>
        </w:rPr>
        <w:t>二是</w:t>
      </w:r>
      <w:r>
        <w:rPr>
          <w:rFonts w:hint="eastAsia" w:ascii="仿宋_GB2312" w:eastAsia="仿宋_GB2312"/>
          <w:color w:val="auto"/>
          <w:sz w:val="32"/>
          <w:highlight w:val="none"/>
          <w:lang w:val="en-US" w:eastAsia="zh-CN"/>
        </w:rPr>
        <w:t>明确了基准站建设备案的责任主体。</w:t>
      </w:r>
      <w:r>
        <w:rPr>
          <w:rFonts w:hint="eastAsia" w:ascii="仿宋_GB2312" w:hAnsi="仿宋" w:eastAsia="仿宋_GB2312"/>
          <w:sz w:val="32"/>
        </w:rPr>
        <w:t>备案人明确为卫星导航定位基准站的所有权单位，采用“谁的站，谁备案</w:t>
      </w:r>
      <w:r>
        <w:rPr>
          <w:rFonts w:hint="eastAsia" w:ascii="仿宋_GB2312" w:hAnsi="仿宋" w:eastAsia="仿宋_GB2312"/>
          <w:sz w:val="32"/>
          <w:lang w:eastAsia="zh-CN"/>
        </w:rPr>
        <w:t>，谁负责</w:t>
      </w:r>
      <w:r>
        <w:rPr>
          <w:rFonts w:hint="eastAsia" w:ascii="仿宋_GB2312" w:hAnsi="仿宋" w:eastAsia="仿宋_GB2312"/>
          <w:sz w:val="32"/>
        </w:rPr>
        <w:t>”的原则，</w:t>
      </w:r>
      <w:r>
        <w:rPr>
          <w:rFonts w:hint="eastAsia" w:ascii="仿宋_GB2312" w:hAnsi="仿宋" w:eastAsia="仿宋_GB2312"/>
          <w:sz w:val="32"/>
          <w:lang w:eastAsia="zh-CN"/>
        </w:rPr>
        <w:t>使得基准站建设和服务</w:t>
      </w:r>
      <w:r>
        <w:rPr>
          <w:rFonts w:hint="eastAsia" w:ascii="仿宋_GB2312" w:hAnsi="仿宋" w:eastAsia="仿宋_GB2312"/>
          <w:sz w:val="32"/>
        </w:rPr>
        <w:t>主体责任更加清晰。</w:t>
      </w:r>
      <w:r>
        <w:rPr>
          <w:rFonts w:hint="eastAsia" w:ascii="黑体" w:hAnsi="黑体" w:eastAsia="黑体" w:cs="黑体"/>
          <w:b w:val="0"/>
          <w:bCs w:val="0"/>
          <w:kern w:val="2"/>
          <w:sz w:val="32"/>
          <w:szCs w:val="32"/>
          <w:lang w:val="en-US" w:eastAsia="zh-CN"/>
        </w:rPr>
        <w:t>三是</w:t>
      </w:r>
      <w:r>
        <w:rPr>
          <w:rFonts w:hint="eastAsia" w:ascii="仿宋_GB2312" w:hAnsi="仿宋" w:eastAsia="仿宋_GB2312"/>
          <w:sz w:val="32"/>
          <w:lang w:eastAsia="zh-CN"/>
        </w:rPr>
        <w:t>优化了基准站</w:t>
      </w:r>
      <w:r>
        <w:rPr>
          <w:rFonts w:hint="eastAsia" w:ascii="仿宋_GB2312" w:hAnsi="仿宋" w:eastAsia="仿宋_GB2312"/>
          <w:sz w:val="32"/>
        </w:rPr>
        <w:t>备案</w:t>
      </w:r>
      <w:r>
        <w:rPr>
          <w:rFonts w:hint="eastAsia" w:ascii="仿宋_GB2312" w:hAnsi="仿宋" w:eastAsia="仿宋_GB2312"/>
          <w:sz w:val="32"/>
          <w:lang w:eastAsia="zh-CN"/>
        </w:rPr>
        <w:t>填报信息。不再要求提交</w:t>
      </w:r>
      <w:r>
        <w:rPr>
          <w:rFonts w:hint="eastAsia" w:ascii="仿宋_GB2312" w:hAnsi="仿宋" w:eastAsia="仿宋_GB2312"/>
          <w:sz w:val="32"/>
        </w:rPr>
        <w:t>备份中心情况、典型应用项目等基准站网备案信息，以及采用的技术标准和点之记等基准站备案信息，压缩了备案填报工作量，有效降低备案人备案填报的难度，减轻备案人的负担。</w:t>
      </w:r>
    </w:p>
    <w:p w14:paraId="1670D67C">
      <w:pPr>
        <w:ind w:firstLine="640" w:firstLineChars="200"/>
        <w:rPr>
          <w:rFonts w:hint="eastAsia" w:ascii="仿宋_GB2312" w:hAnsi="仿宋" w:eastAsia="仿宋_GB2312"/>
          <w:sz w:val="32"/>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8BB0FD-9A47-4BC8-96F8-C5ED4741996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8241EE79-4D4C-412A-AA1B-B8294703C74E}"/>
  </w:font>
  <w:font w:name="楷体">
    <w:panose1 w:val="02010609060101010101"/>
    <w:charset w:val="86"/>
    <w:family w:val="modern"/>
    <w:pitch w:val="default"/>
    <w:sig w:usb0="800002BF" w:usb1="38CF7CFA" w:usb2="00000016" w:usb3="00000000" w:csb0="00040001" w:csb1="00000000"/>
    <w:embedRegular r:id="rId3" w:fontKey="{736E20BB-F893-4758-B3AE-674222FBBD5C}"/>
  </w:font>
  <w:font w:name="Calibri Light">
    <w:panose1 w:val="020F0302020204030204"/>
    <w:charset w:val="00"/>
    <w:family w:val="swiss"/>
    <w:pitch w:val="default"/>
    <w:sig w:usb0="A00002EF" w:usb1="4000207B" w:usb2="00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77703E07-2E2A-41CB-B22C-12ED17C58737}"/>
  </w:font>
  <w:font w:name="仿宋_GB2312">
    <w:altName w:val="仿宋"/>
    <w:panose1 w:val="02010609030101010101"/>
    <w:charset w:val="86"/>
    <w:family w:val="auto"/>
    <w:pitch w:val="default"/>
    <w:sig w:usb0="00000001" w:usb1="080E0000" w:usb2="00000000" w:usb3="00000000" w:csb0="00040000" w:csb1="00000000"/>
    <w:embedRegular r:id="rId5" w:fontKey="{6BFBB4B2-3424-4380-BDFD-9B228C6E46E8}"/>
  </w:font>
  <w:font w:name="楷体_GB2312">
    <w:altName w:val="楷体"/>
    <w:panose1 w:val="02010609030101010101"/>
    <w:charset w:val="86"/>
    <w:family w:val="modern"/>
    <w:pitch w:val="default"/>
    <w:sig w:usb0="00000001" w:usb1="080E0000" w:usb2="00000000" w:usb3="00000000" w:csb0="00040000" w:csb1="00000000"/>
    <w:embedRegular r:id="rId6" w:fontKey="{E6209522-D505-4957-B92E-E14AC1444EB4}"/>
  </w:font>
  <w:font w:name="等线">
    <w:altName w:val="宋体"/>
    <w:panose1 w:val="02010600030101010101"/>
    <w:charset w:val="00"/>
    <w:family w:val="auto"/>
    <w:pitch w:val="default"/>
    <w:sig w:usb0="00000000" w:usb1="00000000" w:usb2="00000016" w:usb3="00000000" w:csb0="0004000F" w:csb1="00000000"/>
    <w:embedRegular r:id="rId7" w:fontKey="{8DCBF135-F46E-4837-8F20-D7C6537E95CD}"/>
  </w:font>
  <w:font w:name="方正楷体_GBK">
    <w:altName w:val="微软雅黑"/>
    <w:panose1 w:val="02000000000000000000"/>
    <w:charset w:val="86"/>
    <w:family w:val="auto"/>
    <w:pitch w:val="default"/>
    <w:sig w:usb0="A00002BF" w:usb1="38CF7CFA" w:usb2="00082016" w:usb3="00000000" w:csb0="00040001" w:csb1="00000000"/>
    <w:embedRegular r:id="rId8" w:fontKey="{4FC14FA3-9F93-4A26-A7F1-2A67C753603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B127">
    <w:pPr>
      <w:pStyle w:val="5"/>
      <w:ind w:firstLine="360"/>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665AD">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EBAF8">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C2F1F">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FCEF0">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DB758">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F7AA5"/>
    <w:multiLevelType w:val="singleLevel"/>
    <w:tmpl w:val="33CF7A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ZDRiNzU4MmU5YzI5MDVmZGYyYjc2ZTBkNzliZGYifQ=="/>
  </w:docVars>
  <w:rsids>
    <w:rsidRoot w:val="000E434D"/>
    <w:rsid w:val="000167F8"/>
    <w:rsid w:val="00022298"/>
    <w:rsid w:val="00032953"/>
    <w:rsid w:val="00042B79"/>
    <w:rsid w:val="000537AC"/>
    <w:rsid w:val="00073C44"/>
    <w:rsid w:val="00080F2F"/>
    <w:rsid w:val="000A4701"/>
    <w:rsid w:val="000E434D"/>
    <w:rsid w:val="000E4CCF"/>
    <w:rsid w:val="0011425D"/>
    <w:rsid w:val="0014037C"/>
    <w:rsid w:val="00142A9F"/>
    <w:rsid w:val="00150DC1"/>
    <w:rsid w:val="00175F9C"/>
    <w:rsid w:val="001A20C7"/>
    <w:rsid w:val="001B06D8"/>
    <w:rsid w:val="001C41B1"/>
    <w:rsid w:val="0020318C"/>
    <w:rsid w:val="002047CD"/>
    <w:rsid w:val="002266FB"/>
    <w:rsid w:val="002339BE"/>
    <w:rsid w:val="00236637"/>
    <w:rsid w:val="00243905"/>
    <w:rsid w:val="00295322"/>
    <w:rsid w:val="002B51EF"/>
    <w:rsid w:val="002D493F"/>
    <w:rsid w:val="002E1A48"/>
    <w:rsid w:val="002E3F3F"/>
    <w:rsid w:val="002F0889"/>
    <w:rsid w:val="00301995"/>
    <w:rsid w:val="00301E15"/>
    <w:rsid w:val="003315A8"/>
    <w:rsid w:val="00377244"/>
    <w:rsid w:val="00380A4E"/>
    <w:rsid w:val="00390622"/>
    <w:rsid w:val="00391AAE"/>
    <w:rsid w:val="003A4D61"/>
    <w:rsid w:val="003A7D27"/>
    <w:rsid w:val="003B459C"/>
    <w:rsid w:val="003E0526"/>
    <w:rsid w:val="003F0AD0"/>
    <w:rsid w:val="00420E0B"/>
    <w:rsid w:val="00423FED"/>
    <w:rsid w:val="00425EEC"/>
    <w:rsid w:val="0049100E"/>
    <w:rsid w:val="004B67C0"/>
    <w:rsid w:val="004B727E"/>
    <w:rsid w:val="004C24D2"/>
    <w:rsid w:val="004C40F2"/>
    <w:rsid w:val="004D10AC"/>
    <w:rsid w:val="00506726"/>
    <w:rsid w:val="005173F8"/>
    <w:rsid w:val="00542D4B"/>
    <w:rsid w:val="00557B60"/>
    <w:rsid w:val="005A30B9"/>
    <w:rsid w:val="005C0580"/>
    <w:rsid w:val="005F164D"/>
    <w:rsid w:val="005F6B6F"/>
    <w:rsid w:val="00675297"/>
    <w:rsid w:val="006953AC"/>
    <w:rsid w:val="006A785B"/>
    <w:rsid w:val="006E3897"/>
    <w:rsid w:val="006F1C01"/>
    <w:rsid w:val="006F6FF0"/>
    <w:rsid w:val="007053C1"/>
    <w:rsid w:val="00706568"/>
    <w:rsid w:val="0072031F"/>
    <w:rsid w:val="0072675C"/>
    <w:rsid w:val="00782744"/>
    <w:rsid w:val="007A4AC5"/>
    <w:rsid w:val="007E2D45"/>
    <w:rsid w:val="0080796E"/>
    <w:rsid w:val="00807AF2"/>
    <w:rsid w:val="0082423C"/>
    <w:rsid w:val="00832910"/>
    <w:rsid w:val="008522A5"/>
    <w:rsid w:val="00863A53"/>
    <w:rsid w:val="008717FF"/>
    <w:rsid w:val="00875EB7"/>
    <w:rsid w:val="00886DD7"/>
    <w:rsid w:val="008A17EE"/>
    <w:rsid w:val="008D79F6"/>
    <w:rsid w:val="008F33A0"/>
    <w:rsid w:val="00901251"/>
    <w:rsid w:val="00903E3D"/>
    <w:rsid w:val="009361FB"/>
    <w:rsid w:val="00961C25"/>
    <w:rsid w:val="00964A4F"/>
    <w:rsid w:val="0097002A"/>
    <w:rsid w:val="00993D83"/>
    <w:rsid w:val="00994E1A"/>
    <w:rsid w:val="009B72F7"/>
    <w:rsid w:val="009C0D6C"/>
    <w:rsid w:val="009E5728"/>
    <w:rsid w:val="009F0DD8"/>
    <w:rsid w:val="00A105AF"/>
    <w:rsid w:val="00A12331"/>
    <w:rsid w:val="00A21804"/>
    <w:rsid w:val="00A50CC6"/>
    <w:rsid w:val="00A57795"/>
    <w:rsid w:val="00A62677"/>
    <w:rsid w:val="00A82951"/>
    <w:rsid w:val="00A82ADE"/>
    <w:rsid w:val="00A90ED5"/>
    <w:rsid w:val="00AA10A7"/>
    <w:rsid w:val="00AA6211"/>
    <w:rsid w:val="00AD1358"/>
    <w:rsid w:val="00AE37B3"/>
    <w:rsid w:val="00B02C20"/>
    <w:rsid w:val="00BA6154"/>
    <w:rsid w:val="00BB2236"/>
    <w:rsid w:val="00BC5264"/>
    <w:rsid w:val="00BF33BA"/>
    <w:rsid w:val="00BF35A0"/>
    <w:rsid w:val="00BF5D9C"/>
    <w:rsid w:val="00C404FC"/>
    <w:rsid w:val="00C40D6B"/>
    <w:rsid w:val="00C560B9"/>
    <w:rsid w:val="00C94ECD"/>
    <w:rsid w:val="00CA37BD"/>
    <w:rsid w:val="00CC69E8"/>
    <w:rsid w:val="00CE1CD9"/>
    <w:rsid w:val="00CF6A4B"/>
    <w:rsid w:val="00D21297"/>
    <w:rsid w:val="00D2374D"/>
    <w:rsid w:val="00D23BD5"/>
    <w:rsid w:val="00D42984"/>
    <w:rsid w:val="00D50B09"/>
    <w:rsid w:val="00D56406"/>
    <w:rsid w:val="00D5643D"/>
    <w:rsid w:val="00D93CE6"/>
    <w:rsid w:val="00DA4489"/>
    <w:rsid w:val="00DB0107"/>
    <w:rsid w:val="00DF00C1"/>
    <w:rsid w:val="00E203A8"/>
    <w:rsid w:val="00E53D21"/>
    <w:rsid w:val="00E65AF4"/>
    <w:rsid w:val="00E71CC8"/>
    <w:rsid w:val="00E74509"/>
    <w:rsid w:val="00E8390A"/>
    <w:rsid w:val="00EB7868"/>
    <w:rsid w:val="00ED39D1"/>
    <w:rsid w:val="00ED5171"/>
    <w:rsid w:val="00F115B8"/>
    <w:rsid w:val="00F17E38"/>
    <w:rsid w:val="00F373FB"/>
    <w:rsid w:val="00F81DAC"/>
    <w:rsid w:val="00F81F4C"/>
    <w:rsid w:val="00F8734C"/>
    <w:rsid w:val="00F944E3"/>
    <w:rsid w:val="00FB63D2"/>
    <w:rsid w:val="0EDBCDA2"/>
    <w:rsid w:val="175F6FAF"/>
    <w:rsid w:val="17DB9291"/>
    <w:rsid w:val="187126ED"/>
    <w:rsid w:val="1B7DB273"/>
    <w:rsid w:val="1D3DB316"/>
    <w:rsid w:val="1DDE6718"/>
    <w:rsid w:val="1E1002D2"/>
    <w:rsid w:val="1EF538BB"/>
    <w:rsid w:val="1F6215EA"/>
    <w:rsid w:val="1FAF88AF"/>
    <w:rsid w:val="1FDE6BC3"/>
    <w:rsid w:val="20E51A10"/>
    <w:rsid w:val="20F5CCBB"/>
    <w:rsid w:val="2577380C"/>
    <w:rsid w:val="278EF1C4"/>
    <w:rsid w:val="2B796FC0"/>
    <w:rsid w:val="2B7F39F4"/>
    <w:rsid w:val="2D255DC2"/>
    <w:rsid w:val="2D5DD7EF"/>
    <w:rsid w:val="2DD5B1DD"/>
    <w:rsid w:val="2DE806A9"/>
    <w:rsid w:val="2E643BDB"/>
    <w:rsid w:val="2FFF3599"/>
    <w:rsid w:val="30654C8A"/>
    <w:rsid w:val="31AF7B51"/>
    <w:rsid w:val="31DE17CD"/>
    <w:rsid w:val="32ED5036"/>
    <w:rsid w:val="32FB7517"/>
    <w:rsid w:val="337EBFB1"/>
    <w:rsid w:val="37FE3705"/>
    <w:rsid w:val="37FFEE9D"/>
    <w:rsid w:val="38072E86"/>
    <w:rsid w:val="3B969D38"/>
    <w:rsid w:val="3B9DDFBC"/>
    <w:rsid w:val="3BEF9AE8"/>
    <w:rsid w:val="3BF7E133"/>
    <w:rsid w:val="3BFA2A46"/>
    <w:rsid w:val="3BFFAAFA"/>
    <w:rsid w:val="3DDE1AF5"/>
    <w:rsid w:val="3E2FDA79"/>
    <w:rsid w:val="3ED492E5"/>
    <w:rsid w:val="3EDFA0C4"/>
    <w:rsid w:val="3EFD0FF3"/>
    <w:rsid w:val="3F5B5E4F"/>
    <w:rsid w:val="3F87CFFF"/>
    <w:rsid w:val="3FFB7209"/>
    <w:rsid w:val="3FFE061E"/>
    <w:rsid w:val="46C42F4B"/>
    <w:rsid w:val="4B6CFECF"/>
    <w:rsid w:val="4B7F2AA7"/>
    <w:rsid w:val="4DD72896"/>
    <w:rsid w:val="4F15B19E"/>
    <w:rsid w:val="4F7F1032"/>
    <w:rsid w:val="51F258D4"/>
    <w:rsid w:val="522628E9"/>
    <w:rsid w:val="53B41B49"/>
    <w:rsid w:val="53EF044D"/>
    <w:rsid w:val="55BF72B7"/>
    <w:rsid w:val="563E3F8B"/>
    <w:rsid w:val="56A3E1AF"/>
    <w:rsid w:val="56BF676D"/>
    <w:rsid w:val="56FB46FE"/>
    <w:rsid w:val="57DFA10A"/>
    <w:rsid w:val="5DAF51A2"/>
    <w:rsid w:val="5DDB5938"/>
    <w:rsid w:val="5E47FBA4"/>
    <w:rsid w:val="5EFE72F6"/>
    <w:rsid w:val="5EFE9913"/>
    <w:rsid w:val="5F777B62"/>
    <w:rsid w:val="5F7EBABD"/>
    <w:rsid w:val="5FF3673B"/>
    <w:rsid w:val="5FFF1866"/>
    <w:rsid w:val="5FFF2356"/>
    <w:rsid w:val="62F91236"/>
    <w:rsid w:val="6497E476"/>
    <w:rsid w:val="66AB67AB"/>
    <w:rsid w:val="674D7E19"/>
    <w:rsid w:val="6BE541EE"/>
    <w:rsid w:val="6DED1A7B"/>
    <w:rsid w:val="6DEDBE9C"/>
    <w:rsid w:val="6DF8700B"/>
    <w:rsid w:val="6F39B67D"/>
    <w:rsid w:val="6F7F09EE"/>
    <w:rsid w:val="6FBF044C"/>
    <w:rsid w:val="6FBF6451"/>
    <w:rsid w:val="6FBF7EE9"/>
    <w:rsid w:val="6FD64517"/>
    <w:rsid w:val="71E966FE"/>
    <w:rsid w:val="73512880"/>
    <w:rsid w:val="73F5D8F5"/>
    <w:rsid w:val="74285B6B"/>
    <w:rsid w:val="74FFA648"/>
    <w:rsid w:val="74FFA936"/>
    <w:rsid w:val="75B40A53"/>
    <w:rsid w:val="75F5C04F"/>
    <w:rsid w:val="76BF05DF"/>
    <w:rsid w:val="76BF41DF"/>
    <w:rsid w:val="76C8987A"/>
    <w:rsid w:val="76D795E5"/>
    <w:rsid w:val="76F9DD08"/>
    <w:rsid w:val="772FFCC3"/>
    <w:rsid w:val="777DB008"/>
    <w:rsid w:val="77D529D1"/>
    <w:rsid w:val="799FE822"/>
    <w:rsid w:val="79BFFBD2"/>
    <w:rsid w:val="7A0D74F1"/>
    <w:rsid w:val="7AFD4332"/>
    <w:rsid w:val="7BCA7F68"/>
    <w:rsid w:val="7BD7D9DD"/>
    <w:rsid w:val="7BDB7B6B"/>
    <w:rsid w:val="7D3FB209"/>
    <w:rsid w:val="7DBFB198"/>
    <w:rsid w:val="7DDF1516"/>
    <w:rsid w:val="7E791815"/>
    <w:rsid w:val="7EBE2D17"/>
    <w:rsid w:val="7EDF1712"/>
    <w:rsid w:val="7EFAB4D2"/>
    <w:rsid w:val="7EFFCFC2"/>
    <w:rsid w:val="7F2E5894"/>
    <w:rsid w:val="7F37E5C9"/>
    <w:rsid w:val="7F69129A"/>
    <w:rsid w:val="7F6B8239"/>
    <w:rsid w:val="7F70ECEC"/>
    <w:rsid w:val="7F778AE2"/>
    <w:rsid w:val="7F9EFCF0"/>
    <w:rsid w:val="7FB61DB5"/>
    <w:rsid w:val="7FBB921A"/>
    <w:rsid w:val="7FBF3EB2"/>
    <w:rsid w:val="7FD63961"/>
    <w:rsid w:val="7FD73336"/>
    <w:rsid w:val="7FDFA335"/>
    <w:rsid w:val="7FDFA601"/>
    <w:rsid w:val="7FFBFAD2"/>
    <w:rsid w:val="7FFCD9B3"/>
    <w:rsid w:val="7FFF0540"/>
    <w:rsid w:val="7FFF22E1"/>
    <w:rsid w:val="7FFF9E9F"/>
    <w:rsid w:val="876A454B"/>
    <w:rsid w:val="96FF74F7"/>
    <w:rsid w:val="9D4B5CFF"/>
    <w:rsid w:val="9FBB50A8"/>
    <w:rsid w:val="A3F50146"/>
    <w:rsid w:val="A77BA53B"/>
    <w:rsid w:val="ABB885BF"/>
    <w:rsid w:val="AE993A52"/>
    <w:rsid w:val="AF1E0931"/>
    <w:rsid w:val="B053679F"/>
    <w:rsid w:val="B37DDE09"/>
    <w:rsid w:val="B576077F"/>
    <w:rsid w:val="B5F2FC1A"/>
    <w:rsid w:val="B6FE3CC3"/>
    <w:rsid w:val="B7CFB3C8"/>
    <w:rsid w:val="B7E7D2DC"/>
    <w:rsid w:val="B7EFBDDE"/>
    <w:rsid w:val="B7EFED62"/>
    <w:rsid w:val="B7FF4135"/>
    <w:rsid w:val="B919C546"/>
    <w:rsid w:val="B98B04C3"/>
    <w:rsid w:val="BA7B23C6"/>
    <w:rsid w:val="BBDA03FC"/>
    <w:rsid w:val="BBDBEA4F"/>
    <w:rsid w:val="BBDDAC15"/>
    <w:rsid w:val="BCDE35E7"/>
    <w:rsid w:val="BEBBDD0A"/>
    <w:rsid w:val="BEE38487"/>
    <w:rsid w:val="BFBD90E5"/>
    <w:rsid w:val="BFEC9F0E"/>
    <w:rsid w:val="BFF69127"/>
    <w:rsid w:val="BFF7EAC1"/>
    <w:rsid w:val="BFFFEE36"/>
    <w:rsid w:val="C27D5236"/>
    <w:rsid w:val="C57E323F"/>
    <w:rsid w:val="C76FAC19"/>
    <w:rsid w:val="C7FDC56C"/>
    <w:rsid w:val="CBF9B173"/>
    <w:rsid w:val="D6FFA9A9"/>
    <w:rsid w:val="D7A7F2C4"/>
    <w:rsid w:val="D977C6F3"/>
    <w:rsid w:val="DBEFE008"/>
    <w:rsid w:val="DDFF8047"/>
    <w:rsid w:val="DEBF37D1"/>
    <w:rsid w:val="DEEFE147"/>
    <w:rsid w:val="DFB98B12"/>
    <w:rsid w:val="DFBEFD05"/>
    <w:rsid w:val="DFEE596D"/>
    <w:rsid w:val="DFFAB148"/>
    <w:rsid w:val="DFFB12A3"/>
    <w:rsid w:val="DFFEE86B"/>
    <w:rsid w:val="E3B6BFC6"/>
    <w:rsid w:val="E4F54CAE"/>
    <w:rsid w:val="E4F75762"/>
    <w:rsid w:val="E594DBBB"/>
    <w:rsid w:val="E5BF392E"/>
    <w:rsid w:val="E5BFB4F0"/>
    <w:rsid w:val="E6F725FC"/>
    <w:rsid w:val="E85F7403"/>
    <w:rsid w:val="E9DF5AA2"/>
    <w:rsid w:val="EAFC6854"/>
    <w:rsid w:val="ED9FFFC8"/>
    <w:rsid w:val="EF7F3D69"/>
    <w:rsid w:val="EFDF3122"/>
    <w:rsid w:val="EFFAA7B4"/>
    <w:rsid w:val="F3EDD687"/>
    <w:rsid w:val="F53FFDEA"/>
    <w:rsid w:val="F55F77F5"/>
    <w:rsid w:val="F58C0003"/>
    <w:rsid w:val="F647A40B"/>
    <w:rsid w:val="F6F7CE26"/>
    <w:rsid w:val="F7592E6D"/>
    <w:rsid w:val="F78F5CD7"/>
    <w:rsid w:val="F78F8281"/>
    <w:rsid w:val="F7B6CBD8"/>
    <w:rsid w:val="F7CF7C1F"/>
    <w:rsid w:val="F7FFBA46"/>
    <w:rsid w:val="F877CEA3"/>
    <w:rsid w:val="F97F4CC3"/>
    <w:rsid w:val="F98646CA"/>
    <w:rsid w:val="F98FDEF7"/>
    <w:rsid w:val="FA7739A0"/>
    <w:rsid w:val="FA7FA295"/>
    <w:rsid w:val="FACFBAAA"/>
    <w:rsid w:val="FAF1FAC9"/>
    <w:rsid w:val="FB5B4A5D"/>
    <w:rsid w:val="FBF6BD38"/>
    <w:rsid w:val="FBFA796D"/>
    <w:rsid w:val="FBFC6CCB"/>
    <w:rsid w:val="FBFFA3DA"/>
    <w:rsid w:val="FC672F08"/>
    <w:rsid w:val="FCD51757"/>
    <w:rsid w:val="FD5FC255"/>
    <w:rsid w:val="FDB69FD7"/>
    <w:rsid w:val="FDD59D8D"/>
    <w:rsid w:val="FDF5D1F8"/>
    <w:rsid w:val="FDF9AFAF"/>
    <w:rsid w:val="FDFFF47D"/>
    <w:rsid w:val="FE5FD15D"/>
    <w:rsid w:val="FE734873"/>
    <w:rsid w:val="FEFCA21A"/>
    <w:rsid w:val="FF56C630"/>
    <w:rsid w:val="FF5D364B"/>
    <w:rsid w:val="FF6C67A5"/>
    <w:rsid w:val="FF73D8FA"/>
    <w:rsid w:val="FFAA7C6D"/>
    <w:rsid w:val="FFAFCC3D"/>
    <w:rsid w:val="FFBFB164"/>
    <w:rsid w:val="FFCD6CF6"/>
    <w:rsid w:val="FFD9603A"/>
    <w:rsid w:val="FFDD43FB"/>
    <w:rsid w:val="FFDDD74B"/>
    <w:rsid w:val="FFDE4493"/>
    <w:rsid w:val="FFDF4A7D"/>
    <w:rsid w:val="FFDFA7C3"/>
    <w:rsid w:val="FFDFFA1C"/>
    <w:rsid w:val="FFEE5715"/>
    <w:rsid w:val="FFF9428F"/>
    <w:rsid w:val="FFFE12CD"/>
    <w:rsid w:val="FFFED575"/>
    <w:rsid w:val="FFFFB7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640" w:firstLineChars="200"/>
      <w:jc w:val="both"/>
    </w:pPr>
    <w:rPr>
      <w:rFonts w:ascii="仿宋" w:hAnsi="仿宋" w:eastAsia="仿宋" w:cs="Times New Roman"/>
      <w:sz w:val="32"/>
      <w:szCs w:val="32"/>
      <w:lang w:val="en-US" w:eastAsia="zh-CN" w:bidi="ar-SA"/>
    </w:rPr>
  </w:style>
  <w:style w:type="paragraph" w:styleId="3">
    <w:name w:val="heading 1"/>
    <w:basedOn w:val="1"/>
    <w:next w:val="1"/>
    <w:qFormat/>
    <w:uiPriority w:val="9"/>
    <w:pPr>
      <w:keepNext/>
      <w:keepLines/>
      <w:spacing w:before="120" w:after="120"/>
      <w:ind w:left="560" w:firstLine="0" w:firstLineChars="0"/>
      <w:outlineLvl w:val="0"/>
    </w:pPr>
    <w:rPr>
      <w:rFonts w:eastAsia="黑体"/>
      <w:kern w:val="44"/>
    </w:rPr>
  </w:style>
  <w:style w:type="paragraph" w:styleId="4">
    <w:name w:val="heading 2"/>
    <w:basedOn w:val="1"/>
    <w:next w:val="1"/>
    <w:link w:val="10"/>
    <w:unhideWhenUsed/>
    <w:qFormat/>
    <w:uiPriority w:val="0"/>
    <w:pPr>
      <w:keepNext/>
      <w:keepLines/>
      <w:spacing w:line="580" w:lineRule="exact"/>
      <w:outlineLvl w:val="1"/>
    </w:pPr>
    <w:rPr>
      <w:rFonts w:ascii="楷体" w:hAnsi="楷体" w:eastAsia="楷体" w:cs="Times New Roman"/>
      <w:bCs/>
    </w:rPr>
  </w:style>
  <w:style w:type="character" w:default="1" w:styleId="9">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footnote text"/>
    <w:basedOn w:val="1"/>
    <w:semiHidden/>
    <w:qFormat/>
    <w:uiPriority w:val="0"/>
    <w:pPr>
      <w:snapToGrid w:val="0"/>
      <w:jc w:val="left"/>
    </w:pPr>
    <w:rPr>
      <w:rFonts w:cs="Times New Roman"/>
      <w:sz w:val="18"/>
      <w:szCs w:val="18"/>
    </w:rPr>
  </w:style>
  <w:style w:type="paragraph" w:styleId="5">
    <w:name w:val="footer"/>
    <w:basedOn w:val="1"/>
    <w:link w:val="11"/>
    <w:qFormat/>
    <w:uiPriority w:val="99"/>
    <w:pPr>
      <w:tabs>
        <w:tab w:val="center" w:pos="4153"/>
        <w:tab w:val="right" w:pos="8306"/>
      </w:tabs>
      <w:snapToGrid w:val="0"/>
      <w:spacing w:line="240" w:lineRule="auto"/>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Title"/>
    <w:basedOn w:val="1"/>
    <w:next w:val="1"/>
    <w:qFormat/>
    <w:uiPriority w:val="10"/>
    <w:pPr>
      <w:spacing w:before="120" w:after="120"/>
      <w:ind w:firstLine="0" w:firstLineChars="0"/>
      <w:jc w:val="center"/>
      <w:outlineLvl w:val="0"/>
    </w:pPr>
    <w:rPr>
      <w:rFonts w:ascii="Calibri Light" w:hAnsi="Calibri Light" w:eastAsia="黑体" w:cs="Times New Roman"/>
      <w:sz w:val="44"/>
    </w:rPr>
  </w:style>
  <w:style w:type="character" w:customStyle="1" w:styleId="10">
    <w:name w:val="标题 2 字符"/>
    <w:basedOn w:val="9"/>
    <w:link w:val="4"/>
    <w:qFormat/>
    <w:uiPriority w:val="0"/>
    <w:rPr>
      <w:rFonts w:ascii="楷体" w:hAnsi="楷体" w:eastAsia="楷体" w:cs="Times New Roman"/>
      <w:bCs/>
      <w:sz w:val="32"/>
      <w:szCs w:val="32"/>
    </w:rPr>
  </w:style>
  <w:style w:type="character" w:customStyle="1" w:styleId="11">
    <w:name w:val="页脚 字符"/>
    <w:basedOn w:val="9"/>
    <w:link w:val="5"/>
    <w:qFormat/>
    <w:uiPriority w:val="99"/>
    <w:rPr>
      <w:rFonts w:ascii="仿宋" w:hAnsi="仿宋" w:eastAsia="仿宋" w:cs="Times New Roman"/>
      <w:sz w:val="18"/>
      <w:szCs w:val="18"/>
    </w:rPr>
  </w:style>
  <w:style w:type="character" w:customStyle="1" w:styleId="12">
    <w:name w:val="页眉 字符"/>
    <w:basedOn w:val="9"/>
    <w:link w:val="6"/>
    <w:qFormat/>
    <w:uiPriority w:val="0"/>
    <w:rPr>
      <w:rFonts w:ascii="仿宋" w:hAnsi="仿宋" w:eastAsia="仿宋"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3367</Words>
  <Characters>3429</Characters>
  <Lines>30</Lines>
  <Paragraphs>8</Paragraphs>
  <TotalTime>0</TotalTime>
  <ScaleCrop>false</ScaleCrop>
  <LinksUpToDate>false</LinksUpToDate>
  <CharactersWithSpaces>3433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2023-07-20T15:59:00Z</dcterms:created>
  <dc:creator>wangwei</dc:creator>
  <cp:lastModifiedBy>卓天网络</cp:lastModifiedBy>
  <cp:lastPrinted>2024-08-26T05:38:49Z</cp:lastPrinted>
  <dcterms:modified xsi:type="dcterms:W3CDTF">2024-08-30T10:51:48Z</dcterms:modified>
  <dc:title>附件2</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CB16F768E4184CE9AED0F385982453A2_13</vt:lpwstr>
  </property>
</Properties>
</file>